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47" w:rsidRDefault="004C5D47" w:rsidP="004C5D47">
      <w:pPr>
        <w:ind w:left="-454"/>
      </w:pPr>
      <w:r>
        <w:rPr>
          <w:noProof/>
          <w:lang w:eastAsia="fr-FR"/>
        </w:rPr>
        <w:drawing>
          <wp:inline distT="0" distB="0" distL="0" distR="0">
            <wp:extent cx="7406005" cy="1021080"/>
            <wp:effectExtent l="19050" t="0" r="4445" b="0"/>
            <wp:docPr id="2" name="Image 5" descr="sti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stid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005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D47" w:rsidRDefault="004C5D47" w:rsidP="004C5D47">
      <w:pPr>
        <w:jc w:val="center"/>
        <w:rPr>
          <w:noProof/>
          <w:sz w:val="48"/>
          <w:szCs w:val="48"/>
          <w:lang w:eastAsia="fr-FR"/>
        </w:rPr>
      </w:pPr>
      <w:r w:rsidRPr="00E60E18">
        <w:rPr>
          <w:noProof/>
          <w:sz w:val="40"/>
          <w:szCs w:val="40"/>
          <w:lang w:eastAsia="fr-FR"/>
        </w:rPr>
        <w:t>Académie d’Aix-Marseille</w:t>
      </w:r>
      <w:r w:rsidR="00E60E18" w:rsidRPr="00E60E18">
        <w:rPr>
          <w:noProof/>
          <w:sz w:val="40"/>
          <w:szCs w:val="40"/>
          <w:lang w:eastAsia="fr-FR"/>
        </w:rPr>
        <w:t xml:space="preserve"> </w:t>
      </w:r>
      <w:r w:rsidR="00E60E18">
        <w:rPr>
          <w:noProof/>
          <w:sz w:val="40"/>
          <w:szCs w:val="40"/>
          <w:lang w:eastAsia="fr-FR"/>
        </w:rPr>
        <w:t>-</w:t>
      </w:r>
      <w:r w:rsidR="00E60E18" w:rsidRPr="00E60E18">
        <w:rPr>
          <w:noProof/>
          <w:sz w:val="40"/>
          <w:szCs w:val="40"/>
          <w:lang w:eastAsia="fr-FR"/>
        </w:rPr>
        <w:t xml:space="preserve"> </w:t>
      </w:r>
      <w:r w:rsidRPr="00E60E18">
        <w:rPr>
          <w:noProof/>
          <w:sz w:val="40"/>
          <w:szCs w:val="40"/>
          <w:lang w:eastAsia="fr-FR"/>
        </w:rPr>
        <w:t>Formation STI2D</w:t>
      </w:r>
      <w:r w:rsidR="00E60E18">
        <w:rPr>
          <w:noProof/>
          <w:sz w:val="40"/>
          <w:szCs w:val="40"/>
          <w:lang w:eastAsia="fr-FR"/>
        </w:rPr>
        <w:t xml:space="preserve"> - </w:t>
      </w:r>
      <w:r w:rsidRPr="00E60E18">
        <w:rPr>
          <w:noProof/>
          <w:sz w:val="40"/>
          <w:szCs w:val="40"/>
          <w:lang w:eastAsia="fr-FR"/>
        </w:rPr>
        <w:t>Public MEI</w:t>
      </w:r>
    </w:p>
    <w:p w:rsidR="004C5D47" w:rsidRDefault="004C5D47" w:rsidP="004C5D47">
      <w:pPr>
        <w:jc w:val="center"/>
        <w:rPr>
          <w:noProof/>
          <w:sz w:val="48"/>
          <w:szCs w:val="48"/>
          <w:lang w:eastAsia="fr-FR"/>
        </w:rPr>
      </w:pPr>
    </w:p>
    <w:p w:rsidR="00E60E18" w:rsidRDefault="00E60E18" w:rsidP="004C5D47">
      <w:pPr>
        <w:jc w:val="center"/>
        <w:rPr>
          <w:noProof/>
          <w:sz w:val="48"/>
          <w:szCs w:val="48"/>
          <w:lang w:eastAsia="fr-FR"/>
        </w:rPr>
      </w:pPr>
    </w:p>
    <w:p w:rsidR="004C5D47" w:rsidRDefault="004C5D47" w:rsidP="004C5D47">
      <w:pPr>
        <w:jc w:val="center"/>
        <w:rPr>
          <w:noProof/>
          <w:sz w:val="48"/>
          <w:szCs w:val="48"/>
          <w:lang w:eastAsia="fr-FR"/>
        </w:rPr>
      </w:pPr>
      <w:r>
        <w:rPr>
          <w:noProof/>
          <w:sz w:val="48"/>
          <w:szCs w:val="48"/>
          <w:lang w:eastAsia="fr-FR"/>
        </w:rPr>
        <w:t xml:space="preserve">Parcours ET22 : </w:t>
      </w:r>
    </w:p>
    <w:p w:rsidR="00E60E18" w:rsidRDefault="00E60E18" w:rsidP="004C5D47">
      <w:pPr>
        <w:jc w:val="center"/>
        <w:rPr>
          <w:noProof/>
          <w:sz w:val="48"/>
          <w:szCs w:val="48"/>
          <w:lang w:eastAsia="fr-FR"/>
        </w:rPr>
      </w:pPr>
      <w:r>
        <w:rPr>
          <w:noProof/>
          <w:sz w:val="48"/>
          <w:szCs w:val="48"/>
          <w:lang w:eastAsia="fr-FR"/>
        </w:rPr>
        <w:t>Analyse temporelle et fréquencielle d’un système</w:t>
      </w:r>
    </w:p>
    <w:p w:rsidR="00E60E18" w:rsidRDefault="00E60E18" w:rsidP="004C5D47">
      <w:pPr>
        <w:jc w:val="center"/>
        <w:rPr>
          <w:noProof/>
          <w:sz w:val="48"/>
          <w:szCs w:val="48"/>
          <w:lang w:eastAsia="fr-FR"/>
        </w:rPr>
      </w:pPr>
    </w:p>
    <w:p w:rsidR="00E60E18" w:rsidRDefault="00057A2B" w:rsidP="004C5D47">
      <w:pPr>
        <w:jc w:val="center"/>
        <w:rPr>
          <w:noProof/>
          <w:sz w:val="48"/>
          <w:szCs w:val="48"/>
          <w:lang w:eastAsia="fr-FR"/>
        </w:rPr>
      </w:pPr>
      <w:r>
        <w:rPr>
          <w:noProof/>
          <w:sz w:val="48"/>
          <w:szCs w:val="48"/>
          <w:lang w:eastAsia="fr-FR"/>
        </w:rPr>
        <w:t>Item 2.3.6</w:t>
      </w:r>
      <w:r w:rsidR="00E60E18">
        <w:rPr>
          <w:noProof/>
          <w:sz w:val="48"/>
          <w:szCs w:val="48"/>
          <w:lang w:eastAsia="fr-FR"/>
        </w:rPr>
        <w:t xml:space="preserve"> du programme :</w:t>
      </w:r>
    </w:p>
    <w:p w:rsidR="00E60E18" w:rsidRDefault="00E60E18" w:rsidP="004C5D47">
      <w:pPr>
        <w:jc w:val="center"/>
        <w:rPr>
          <w:noProof/>
          <w:sz w:val="48"/>
          <w:szCs w:val="48"/>
          <w:lang w:eastAsia="fr-FR"/>
        </w:rPr>
      </w:pPr>
      <w:r>
        <w:rPr>
          <w:noProof/>
          <w:sz w:val="48"/>
          <w:szCs w:val="48"/>
          <w:lang w:eastAsia="fr-FR"/>
        </w:rPr>
        <w:t>Comportement informationnel des systèmes</w:t>
      </w:r>
    </w:p>
    <w:p w:rsidR="00E60E18" w:rsidRDefault="00E60E18" w:rsidP="004C5D47">
      <w:pPr>
        <w:jc w:val="center"/>
        <w:rPr>
          <w:noProof/>
          <w:sz w:val="48"/>
          <w:szCs w:val="48"/>
          <w:lang w:eastAsia="fr-FR"/>
        </w:rPr>
      </w:pPr>
    </w:p>
    <w:p w:rsidR="00E60E18" w:rsidRDefault="00E60E18" w:rsidP="00E6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8"/>
          <w:szCs w:val="48"/>
          <w:lang w:eastAsia="fr-FR"/>
        </w:rPr>
      </w:pPr>
      <w:r>
        <w:rPr>
          <w:noProof/>
          <w:sz w:val="48"/>
          <w:szCs w:val="48"/>
          <w:lang w:eastAsia="fr-FR"/>
        </w:rPr>
        <w:t>Activité :</w:t>
      </w:r>
    </w:p>
    <w:p w:rsidR="00E60E18" w:rsidRPr="004C5D47" w:rsidRDefault="006429D2" w:rsidP="00E6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8"/>
          <w:szCs w:val="48"/>
          <w:lang w:eastAsia="fr-FR"/>
        </w:rPr>
      </w:pPr>
      <w:r>
        <w:rPr>
          <w:noProof/>
          <w:sz w:val="48"/>
          <w:szCs w:val="48"/>
          <w:lang w:eastAsia="fr-FR"/>
        </w:rPr>
        <w:t>Etude d’un système de téléphonie analogique interne</w:t>
      </w:r>
    </w:p>
    <w:p w:rsidR="00E60E18" w:rsidRDefault="00E60E18">
      <w:pPr>
        <w:sectPr w:rsidR="00E60E18" w:rsidSect="00E60E18">
          <w:footerReference w:type="default" r:id="rId9"/>
          <w:pgSz w:w="11906" w:h="16838"/>
          <w:pgMar w:top="568" w:right="566" w:bottom="1417" w:left="567" w:header="708" w:footer="27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59696338"/>
        <w:docPartObj>
          <w:docPartGallery w:val="Table of Contents"/>
          <w:docPartUnique/>
        </w:docPartObj>
      </w:sdtPr>
      <w:sdtContent>
        <w:p w:rsidR="000E380A" w:rsidRDefault="000E380A" w:rsidP="004659E1">
          <w:pPr>
            <w:pStyle w:val="En-ttedetabledesmatires"/>
            <w:jc w:val="center"/>
          </w:pPr>
          <w:r w:rsidRPr="004659E1">
            <w:rPr>
              <w:sz w:val="36"/>
              <w:szCs w:val="36"/>
            </w:rPr>
            <w:t>Sommaire</w:t>
          </w:r>
        </w:p>
        <w:p w:rsidR="004659E1" w:rsidRDefault="00B27A2A">
          <w:pPr>
            <w:pStyle w:val="TM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 w:rsidR="000E380A">
            <w:instrText xml:space="preserve"> TOC \o "1-3" \h \z \u </w:instrText>
          </w:r>
          <w:r>
            <w:fldChar w:fldCharType="separate"/>
          </w:r>
          <w:hyperlink w:anchor="_Toc314501970" w:history="1">
            <w:r w:rsidR="004659E1" w:rsidRPr="002C7E6B">
              <w:rPr>
                <w:rStyle w:val="Lienhypertexte"/>
                <w:rFonts w:cstheme="minorHAnsi"/>
                <w:noProof/>
              </w:rPr>
              <w:t>1</w:t>
            </w:r>
            <w:r w:rsidR="004659E1">
              <w:rPr>
                <w:rFonts w:eastAsiaTheme="minorEastAsia"/>
                <w:noProof/>
                <w:lang w:eastAsia="fr-FR"/>
              </w:rPr>
              <w:tab/>
            </w:r>
            <w:r w:rsidR="004659E1" w:rsidRPr="002C7E6B">
              <w:rPr>
                <w:rStyle w:val="Lienhypertexte"/>
                <w:rFonts w:cstheme="minorHAnsi"/>
                <w:noProof/>
              </w:rPr>
              <w:t>But de l’activité</w:t>
            </w:r>
            <w:r w:rsidR="004659E1">
              <w:rPr>
                <w:noProof/>
                <w:webHidden/>
              </w:rPr>
              <w:tab/>
            </w:r>
            <w:r w:rsidR="004659E1">
              <w:rPr>
                <w:noProof/>
                <w:webHidden/>
              </w:rPr>
              <w:fldChar w:fldCharType="begin"/>
            </w:r>
            <w:r w:rsidR="004659E1">
              <w:rPr>
                <w:noProof/>
                <w:webHidden/>
              </w:rPr>
              <w:instrText xml:space="preserve"> PAGEREF _Toc314501970 \h </w:instrText>
            </w:r>
            <w:r w:rsidR="004659E1">
              <w:rPr>
                <w:noProof/>
                <w:webHidden/>
              </w:rPr>
            </w:r>
            <w:r w:rsidR="004659E1"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1</w:t>
            </w:r>
            <w:r w:rsidR="004659E1"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71" w:history="1">
            <w:r w:rsidRPr="002C7E6B">
              <w:rPr>
                <w:rStyle w:val="Lienhypertexte"/>
                <w:noProof/>
              </w:rPr>
              <w:t>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Installation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72" w:history="1">
            <w:r w:rsidRPr="002C7E6B">
              <w:rPr>
                <w:rStyle w:val="Lienhypertexte"/>
                <w:noProof/>
              </w:rPr>
              <w:t>3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Fonctionnement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73" w:history="1">
            <w:r w:rsidRPr="002C7E6B">
              <w:rPr>
                <w:rStyle w:val="Lienhypertexte"/>
                <w:noProof/>
              </w:rPr>
              <w:t>3.1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Les informations échangées entre le poste téléphonique et le PABX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3"/>
            <w:tabs>
              <w:tab w:val="left" w:pos="132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74" w:history="1">
            <w:r w:rsidRPr="002C7E6B">
              <w:rPr>
                <w:rStyle w:val="Lienhypertexte"/>
                <w:noProof/>
              </w:rPr>
              <w:t>3.1.1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La détection de prise de ligne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3"/>
            <w:tabs>
              <w:tab w:val="left" w:pos="132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75" w:history="1">
            <w:r w:rsidRPr="002C7E6B">
              <w:rPr>
                <w:rStyle w:val="Lienhypertexte"/>
                <w:noProof/>
              </w:rPr>
              <w:t>3.1.2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La numérotation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3"/>
            <w:tabs>
              <w:tab w:val="left" w:pos="132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76" w:history="1">
            <w:r w:rsidRPr="002C7E6B">
              <w:rPr>
                <w:rStyle w:val="Lienhypertexte"/>
                <w:noProof/>
              </w:rPr>
              <w:t>3.1.3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La mise en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3"/>
            <w:tabs>
              <w:tab w:val="left" w:pos="132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77" w:history="1">
            <w:r w:rsidRPr="002C7E6B">
              <w:rPr>
                <w:rStyle w:val="Lienhypertexte"/>
                <w:noProof/>
              </w:rPr>
              <w:t>3.1.4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La conversation téléphonique proprement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3"/>
            <w:tabs>
              <w:tab w:val="left" w:pos="132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78" w:history="1">
            <w:r w:rsidRPr="002C7E6B">
              <w:rPr>
                <w:rStyle w:val="Lienhypertexte"/>
                <w:noProof/>
              </w:rPr>
              <w:t>3.1.5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La fin de la prise de ligne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3"/>
            <w:tabs>
              <w:tab w:val="left" w:pos="132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79" w:history="1">
            <w:r w:rsidRPr="002C7E6B">
              <w:rPr>
                <w:rStyle w:val="Lienhypertexte"/>
                <w:noProof/>
              </w:rPr>
              <w:t>3.1.6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Différenciation voix / signalisation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80" w:history="1">
            <w:r w:rsidRPr="002C7E6B">
              <w:rPr>
                <w:rStyle w:val="Lienhypertexte"/>
                <w:noProof/>
              </w:rPr>
              <w:t>3.2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Les signaux associés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3"/>
            <w:tabs>
              <w:tab w:val="left" w:pos="132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81" w:history="1">
            <w:r w:rsidRPr="002C7E6B">
              <w:rPr>
                <w:rStyle w:val="Lienhypertexte"/>
                <w:noProof/>
              </w:rPr>
              <w:t>3.2.1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Différenciation combiné raccroché / combiné décroché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3"/>
            <w:tabs>
              <w:tab w:val="left" w:pos="132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82" w:history="1">
            <w:r w:rsidRPr="002C7E6B">
              <w:rPr>
                <w:rStyle w:val="Lienhypertexte"/>
                <w:noProof/>
              </w:rPr>
              <w:t>3.2.2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Les tensions significatives des informations de voix et de signalisation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83" w:history="1">
            <w:r w:rsidRPr="002C7E6B">
              <w:rPr>
                <w:rStyle w:val="Lienhypertexte"/>
                <w:noProof/>
              </w:rPr>
              <w:t>3.3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La bande passante du Réseau Téléphonique Commuté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84" w:history="1">
            <w:r w:rsidRPr="002C7E6B">
              <w:rPr>
                <w:rStyle w:val="Lienhypertexte"/>
                <w:noProof/>
              </w:rPr>
              <w:t>4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Les mesures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85" w:history="1">
            <w:r w:rsidRPr="002C7E6B">
              <w:rPr>
                <w:rStyle w:val="Lienhypertexte"/>
                <w:noProof/>
              </w:rPr>
              <w:t>4.1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Tensions combiné raccroché/décroché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86" w:history="1">
            <w:r w:rsidRPr="002C7E6B">
              <w:rPr>
                <w:rStyle w:val="Lienhypertexte"/>
                <w:noProof/>
              </w:rPr>
              <w:t>4.2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Signal de la tonalité d’invitation à numéroter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87" w:history="1">
            <w:r w:rsidRPr="002C7E6B">
              <w:rPr>
                <w:rStyle w:val="Lienhypertexte"/>
                <w:noProof/>
              </w:rPr>
              <w:t>4.3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Signal de la tonalité d’invitation à numéroter à l’extérieur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88" w:history="1">
            <w:r w:rsidRPr="002C7E6B">
              <w:rPr>
                <w:rStyle w:val="Lienhypertexte"/>
                <w:noProof/>
              </w:rPr>
              <w:t>4.4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Etude des signaux associés à la numérotation (code DTMF)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89" w:history="1">
            <w:r w:rsidRPr="002C7E6B">
              <w:rPr>
                <w:rStyle w:val="Lienhypertexte"/>
                <w:noProof/>
              </w:rPr>
              <w:t>4.5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Signal de commande de la sonnerie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90" w:history="1">
            <w:r w:rsidRPr="002C7E6B">
              <w:rPr>
                <w:rStyle w:val="Lienhypertexte"/>
                <w:noProof/>
              </w:rPr>
              <w:t>4.6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</w:rPr>
              <w:t>Signal de retour d’appel d’un poste occupé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59E1" w:rsidRDefault="004659E1">
          <w:pPr>
            <w:pStyle w:val="TM2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fr-FR"/>
            </w:rPr>
          </w:pPr>
          <w:hyperlink w:anchor="_Toc314501991" w:history="1">
            <w:r w:rsidRPr="002C7E6B">
              <w:rPr>
                <w:rStyle w:val="Lienhypertexte"/>
                <w:noProof/>
                <w:lang w:eastAsia="fr-FR"/>
              </w:rPr>
              <w:t>4.7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C7E6B">
              <w:rPr>
                <w:rStyle w:val="Lienhypertexte"/>
                <w:noProof/>
                <w:lang w:eastAsia="fr-FR"/>
              </w:rPr>
              <w:t>Signal correspondant à la voix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_Toc314501991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68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0A" w:rsidRDefault="00B27A2A">
          <w:r>
            <w:fldChar w:fldCharType="end"/>
          </w:r>
        </w:p>
      </w:sdtContent>
    </w:sdt>
    <w:p w:rsidR="00E60E18" w:rsidRDefault="00E60E18" w:rsidP="004E7F63">
      <w:pPr>
        <w:sectPr w:rsidR="00E60E18" w:rsidSect="002C45FC">
          <w:headerReference w:type="default" r:id="rId10"/>
          <w:footerReference w:type="default" r:id="rId11"/>
          <w:pgSz w:w="11906" w:h="16838"/>
          <w:pgMar w:top="851" w:right="567" w:bottom="1134" w:left="567" w:header="425" w:footer="0" w:gutter="0"/>
          <w:cols w:space="708"/>
          <w:docGrid w:linePitch="360"/>
        </w:sectPr>
      </w:pPr>
    </w:p>
    <w:p w:rsidR="004C5D47" w:rsidRDefault="00746E6E" w:rsidP="00746E6E">
      <w:pPr>
        <w:pStyle w:val="Titre1"/>
        <w:rPr>
          <w:rFonts w:cstheme="minorHAnsi"/>
        </w:rPr>
      </w:pPr>
      <w:bookmarkStart w:id="0" w:name="_Toc314501970"/>
      <w:r>
        <w:rPr>
          <w:rFonts w:cstheme="minorHAnsi"/>
        </w:rPr>
        <w:lastRenderedPageBreak/>
        <w:t>But de l’activité</w:t>
      </w:r>
      <w:bookmarkEnd w:id="0"/>
    </w:p>
    <w:p w:rsidR="00746E6E" w:rsidRDefault="00746E6E" w:rsidP="00746E6E">
      <w:pPr>
        <w:ind w:left="426"/>
      </w:pPr>
      <w:r>
        <w:t xml:space="preserve">Le but de cette activité est de </w:t>
      </w:r>
      <w:r w:rsidR="006429D2">
        <w:t xml:space="preserve">visualiser et de caractériser les signaux électriques qui transitent sur la ligne reliant un téléphone à un </w:t>
      </w:r>
      <w:r w:rsidR="00F90261">
        <w:t>autocommutateur</w:t>
      </w:r>
      <w:r w:rsidR="006429D2">
        <w:t xml:space="preserve"> (PABX) analogique.</w:t>
      </w:r>
    </w:p>
    <w:p w:rsidR="00746E6E" w:rsidRDefault="006429D2" w:rsidP="00746E6E">
      <w:pPr>
        <w:pStyle w:val="Titre1"/>
      </w:pPr>
      <w:bookmarkStart w:id="1" w:name="_Toc314501971"/>
      <w:r>
        <w:t>Installation</w:t>
      </w:r>
      <w:bookmarkEnd w:id="1"/>
    </w:p>
    <w:p w:rsidR="001F560B" w:rsidRDefault="006429D2" w:rsidP="006429D2">
      <w:pPr>
        <w:ind w:left="426"/>
      </w:pPr>
      <w:r>
        <w:t>L’</w:t>
      </w:r>
      <w:r w:rsidR="00F90261">
        <w:t>autocommutateur</w:t>
      </w:r>
      <w:r>
        <w:t xml:space="preserve"> utilisé est un </w:t>
      </w:r>
      <w:r w:rsidR="001F560B">
        <w:t xml:space="preserve">HOME PABX 8 canaux de chez ASICOM. Il est fourni avec le système RICK utilisé en BTS Systèmes Electroniques. </w:t>
      </w:r>
    </w:p>
    <w:p w:rsidR="006429D2" w:rsidRDefault="001F560B" w:rsidP="006429D2">
      <w:pPr>
        <w:ind w:left="426"/>
      </w:pPr>
      <w:r>
        <w:t>Son câblage est on ne peut plus simple :</w:t>
      </w:r>
    </w:p>
    <w:p w:rsidR="001F560B" w:rsidRDefault="00B27A2A" w:rsidP="006429D2">
      <w:pPr>
        <w:ind w:left="426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-1.25pt;margin-top:18.7pt;width:111.35pt;height:44.35pt;z-index:251685888" filled="f" stroked="f">
            <v:textbox>
              <w:txbxContent>
                <w:p w:rsidR="00C43589" w:rsidRDefault="00C43589">
                  <w:r>
                    <w:t>N° 0 : RTC du lycée</w:t>
                  </w:r>
                </w:p>
                <w:p w:rsidR="00C43589" w:rsidRDefault="00C43589"/>
              </w:txbxContent>
            </v:textbox>
          </v:shape>
        </w:pict>
      </w:r>
      <w:r>
        <w:rPr>
          <w:noProof/>
          <w:lang w:eastAsia="fr-FR"/>
        </w:rPr>
        <w:pict>
          <v:rect id="_x0000_s1060" style="position:absolute;left:0;text-align:left;margin-left:127.4pt;margin-top:14.3pt;width:222.85pt;height:40.95pt;z-index:251658240" filled="f"/>
        </w:pict>
      </w:r>
      <w:r>
        <w:rPr>
          <w:noProof/>
          <w:lang w:eastAsia="fr-FR"/>
        </w:rPr>
        <w:pict>
          <v:shape id="_x0000_s1070" type="#_x0000_t202" style="position:absolute;left:0;text-align:left;margin-left:321.05pt;margin-top:14.3pt;width:34.35pt;height:22.1pt;z-index:251667456" filled="f" stroked="f">
            <v:textbox style="mso-next-textbox:#_x0000_s1070">
              <w:txbxContent>
                <w:p w:rsidR="00C43589" w:rsidRDefault="00C43589" w:rsidP="001F560B">
                  <w:pPr>
                    <w:spacing w:before="0"/>
                  </w:pPr>
                  <w:r>
                    <w:t>L8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202" style="position:absolute;left:0;text-align:left;margin-left:181.8pt;margin-top:14.3pt;width:34.35pt;height:22.1pt;z-index:251661312" filled="f" stroked="f">
            <v:textbox style="mso-next-textbox:#_x0000_s1063">
              <w:txbxContent>
                <w:p w:rsidR="00C43589" w:rsidRDefault="00C43589" w:rsidP="001F560B">
                  <w:pPr>
                    <w:spacing w:before="0"/>
                  </w:pPr>
                  <w:r>
                    <w:t>L2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8" type="#_x0000_t202" style="position:absolute;left:0;text-align:left;margin-left:298.3pt;margin-top:14.3pt;width:34.35pt;height:22.1pt;z-index:251666432" filled="f" stroked="f">
            <v:textbox style="mso-next-textbox:#_x0000_s1068">
              <w:txbxContent>
                <w:p w:rsidR="00C43589" w:rsidRDefault="00C43589" w:rsidP="001F560B">
                  <w:pPr>
                    <w:spacing w:before="0"/>
                  </w:pPr>
                  <w:r>
                    <w:t>L7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7" type="#_x0000_t202" style="position:absolute;left:0;text-align:left;margin-left:274.2pt;margin-top:14.3pt;width:34.35pt;height:22.1pt;z-index:251665408" filled="f" stroked="f">
            <v:textbox style="mso-next-textbox:#_x0000_s1067">
              <w:txbxContent>
                <w:p w:rsidR="00C43589" w:rsidRDefault="00C43589" w:rsidP="001F560B">
                  <w:pPr>
                    <w:spacing w:before="0"/>
                  </w:pPr>
                  <w:r>
                    <w:t>L6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6" type="#_x0000_t202" style="position:absolute;left:0;text-align:left;margin-left:251.2pt;margin-top:14.3pt;width:34.35pt;height:22.1pt;z-index:251664384" filled="f" stroked="f">
            <v:textbox style="mso-next-textbox:#_x0000_s1066">
              <w:txbxContent>
                <w:p w:rsidR="00C43589" w:rsidRDefault="00C43589" w:rsidP="001F560B">
                  <w:pPr>
                    <w:spacing w:before="0"/>
                  </w:pPr>
                  <w:r>
                    <w:t>L5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5" type="#_x0000_t202" style="position:absolute;left:0;text-align:left;margin-left:227.65pt;margin-top:14.3pt;width:34.35pt;height:22.1pt;z-index:251663360" filled="f" stroked="f">
            <v:textbox style="mso-next-textbox:#_x0000_s1065">
              <w:txbxContent>
                <w:p w:rsidR="00C43589" w:rsidRDefault="00C43589" w:rsidP="001F560B">
                  <w:pPr>
                    <w:spacing w:before="0"/>
                  </w:pPr>
                  <w:r>
                    <w:t>L4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4" type="#_x0000_t202" style="position:absolute;left:0;text-align:left;margin-left:204.8pt;margin-top:14.3pt;width:34.35pt;height:22.1pt;z-index:251662336" filled="f" stroked="f">
            <v:textbox style="mso-next-textbox:#_x0000_s1064">
              <w:txbxContent>
                <w:p w:rsidR="00C43589" w:rsidRDefault="00C43589" w:rsidP="001F560B">
                  <w:pPr>
                    <w:spacing w:before="0"/>
                  </w:pPr>
                  <w:r>
                    <w:t>L3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2" type="#_x0000_t202" style="position:absolute;left:0;text-align:left;margin-left:157.55pt;margin-top:14.3pt;width:34.35pt;height:22.1pt;z-index:251660288" filled="f" stroked="f">
            <v:textbox style="mso-next-textbox:#_x0000_s1062">
              <w:txbxContent>
                <w:p w:rsidR="00C43589" w:rsidRDefault="00C43589" w:rsidP="001F560B">
                  <w:pPr>
                    <w:spacing w:before="0"/>
                  </w:pPr>
                  <w:r>
                    <w:t>L1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1" type="#_x0000_t202" style="position:absolute;left:0;text-align:left;margin-left:127.4pt;margin-top:14.3pt;width:34.35pt;height:22.1pt;z-index:251659264" filled="f" stroked="f">
            <v:textbox style="mso-next-textbox:#_x0000_s1061">
              <w:txbxContent>
                <w:p w:rsidR="00C43589" w:rsidRDefault="00C43589" w:rsidP="001F560B">
                  <w:pPr>
                    <w:spacing w:before="0"/>
                  </w:pPr>
                  <w:r>
                    <w:t>CO</w:t>
                  </w:r>
                </w:p>
              </w:txbxContent>
            </v:textbox>
          </v:shape>
        </w:pict>
      </w:r>
    </w:p>
    <w:p w:rsidR="001F560B" w:rsidRDefault="00B27A2A" w:rsidP="001F560B">
      <w:pPr>
        <w:tabs>
          <w:tab w:val="left" w:pos="3868"/>
        </w:tabs>
        <w:ind w:left="426"/>
      </w:pPr>
      <w:r>
        <w:rPr>
          <w:noProof/>
          <w:lang w:eastAsia="fr-FR"/>
        </w:rPr>
        <w:pict>
          <v:rect id="_x0000_s1071" style="position:absolute;left:0;text-align:left;margin-left:129.75pt;margin-top:10.85pt;width:217.45pt;height:21.2pt;z-index:251668480"/>
        </w:pict>
      </w:r>
      <w:r>
        <w:rPr>
          <w:noProof/>
          <w:lang w:eastAsia="fr-FR"/>
        </w:rPr>
        <w:pict>
          <v:rect id="_x0000_s1080" style="position:absolute;left:0;text-align:left;margin-left:327.75pt;margin-top:13.2pt;width:16.9pt;height:16pt;z-index:251677696"/>
        </w:pict>
      </w:r>
      <w:r>
        <w:rPr>
          <w:noProof/>
          <w:lang w:eastAsia="fr-FR"/>
        </w:rPr>
        <w:pict>
          <v:rect id="_x0000_s1079" style="position:absolute;left:0;text-align:left;margin-left:304.1pt;margin-top:13.2pt;width:16.9pt;height:16pt;z-index:251676672"/>
        </w:pict>
      </w:r>
      <w:r>
        <w:rPr>
          <w:noProof/>
          <w:lang w:eastAsia="fr-FR"/>
        </w:rPr>
        <w:pict>
          <v:rect id="_x0000_s1077" style="position:absolute;left:0;text-align:left;margin-left:257.75pt;margin-top:13.2pt;width:16.9pt;height:16pt;z-index:251674624"/>
        </w:pict>
      </w:r>
      <w:r>
        <w:rPr>
          <w:noProof/>
          <w:lang w:eastAsia="fr-FR"/>
        </w:rPr>
        <w:pict>
          <v:rect id="_x0000_s1078" style="position:absolute;left:0;text-align:left;margin-left:280.55pt;margin-top:13.2pt;width:16.9pt;height:16pt;z-index:251675648"/>
        </w:pict>
      </w:r>
      <w:r>
        <w:rPr>
          <w:noProof/>
          <w:lang w:eastAsia="fr-FR"/>
        </w:rPr>
        <w:pict>
          <v:rect id="_x0000_s1076" style="position:absolute;left:0;text-align:left;margin-left:234.3pt;margin-top:13.2pt;width:16.9pt;height:16pt;z-index:251673600"/>
        </w:pict>
      </w:r>
      <w:r>
        <w:rPr>
          <w:noProof/>
          <w:lang w:eastAsia="fr-FR"/>
        </w:rPr>
        <w:pict>
          <v:rect id="_x0000_s1075" style="position:absolute;left:0;text-align:left;margin-left:210.3pt;margin-top:13.2pt;width:16.9pt;height:16pt;z-index:251672576"/>
        </w:pict>
      </w:r>
      <w:r>
        <w:rPr>
          <w:noProof/>
          <w:lang w:eastAsia="fr-FR"/>
        </w:rPr>
        <w:pict>
          <v:rect id="_x0000_s1074" style="position:absolute;left:0;text-align:left;margin-left:185.55pt;margin-top:13.2pt;width:16.9pt;height:16pt;z-index:251671552"/>
        </w:pict>
      </w:r>
      <w:r>
        <w:rPr>
          <w:noProof/>
          <w:lang w:eastAsia="fr-FR"/>
        </w:rPr>
        <w:pict>
          <v:rect id="_x0000_s1073" style="position:absolute;left:0;text-align:left;margin-left:161.75pt;margin-top:13.2pt;width:16.9pt;height:16pt;z-index:251670528"/>
        </w:pict>
      </w:r>
      <w:r>
        <w:rPr>
          <w:noProof/>
          <w:lang w:eastAsia="fr-FR"/>
        </w:rPr>
        <w:pict>
          <v:rect id="_x0000_s1072" style="position:absolute;left:0;text-align:left;margin-left:133.55pt;margin-top:13.2pt;width:16.9pt;height:16pt;z-index:251669504"/>
        </w:pict>
      </w:r>
      <w:r w:rsidR="001F560B">
        <w:tab/>
      </w:r>
    </w:p>
    <w:p w:rsidR="001F560B" w:rsidRDefault="00B27A2A" w:rsidP="006429D2">
      <w:pPr>
        <w:ind w:left="426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left:0;text-align:left;margin-left:38.65pt;margin-top:28.5pt;width:.55pt;height:17.7pt;z-index:251682816" o:connectortype="straight" strokeweight="1.5pt"/>
        </w:pict>
      </w:r>
      <w:r>
        <w:rPr>
          <w:noProof/>
          <w:lang w:eastAsia="fr-FR"/>
        </w:rPr>
        <w:pict>
          <v:shape id="_x0000_s1091" type="#_x0000_t32" style="position:absolute;left:0;text-align:left;margin-left:141.7pt;margin-top:9.75pt;width:0;height:36.45pt;z-index:251684864" o:connectortype="straight" strokeweight="1.5pt"/>
        </w:pict>
      </w:r>
      <w:r w:rsidR="00AD389C">
        <w:rPr>
          <w:noProof/>
          <w:lang w:eastAsia="fr-FR"/>
        </w:rPr>
        <w:drawing>
          <wp:inline distT="0" distB="0" distL="0" distR="0">
            <wp:extent cx="395947" cy="296468"/>
            <wp:effectExtent l="19050" t="0" r="4103" b="0"/>
            <wp:docPr id="5" name="Image 2" descr="rj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63" cy="29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4" type="#_x0000_t34" style="position:absolute;left:0;text-align:left;margin-left:276.15pt;margin-top:24.25pt;width:51.65pt;height:22.7pt;rotation:270;z-index:251681792;mso-position-horizontal-relative:text;mso-position-vertical-relative:text" o:connectortype="elbow" adj="10790,-304826,-133406" strokeweight="1.5pt"/>
        </w:pict>
      </w:r>
      <w:r>
        <w:rPr>
          <w:noProof/>
          <w:lang w:eastAsia="fr-FR"/>
        </w:rPr>
        <w:pict>
          <v:shape id="_x0000_s1083" type="#_x0000_t34" style="position:absolute;left:0;text-align:left;margin-left:155.35pt;margin-top:24.9pt;width:51.65pt;height:21.4pt;rotation:270;flip:x;z-index:251680768;mso-position-horizontal-relative:text;mso-position-vertical-relative:text" o:connectortype="elbow" adj="10790,323344,-92108" strokeweight="1.5pt"/>
        </w:pict>
      </w:r>
    </w:p>
    <w:p w:rsidR="00AD389C" w:rsidRDefault="00B27A2A" w:rsidP="006429D2">
      <w:pPr>
        <w:ind w:left="426"/>
      </w:pPr>
      <w:r>
        <w:rPr>
          <w:noProof/>
          <w:lang w:eastAsia="fr-FR"/>
        </w:rPr>
        <w:pict>
          <v:shape id="_x0000_s1090" type="#_x0000_t32" style="position:absolute;left:0;text-align:left;margin-left:38.65pt;margin-top:16.9pt;width:103.05pt;height:0;z-index:251683840" o:connectortype="straight" strokeweight="1.5pt"/>
        </w:pict>
      </w:r>
    </w:p>
    <w:p w:rsidR="00AD389C" w:rsidRDefault="00B27A2A" w:rsidP="006429D2">
      <w:pPr>
        <w:ind w:left="426"/>
      </w:pPr>
      <w:r>
        <w:rPr>
          <w:noProof/>
          <w:lang w:eastAsia="fr-FR"/>
        </w:rPr>
        <w:pict>
          <v:shape id="_x0000_s1082" style="position:absolute;left:0;text-align:left;margin-left:272.55pt;margin-top:12.65pt;width:36pt;height:36pt;z-index:251679744" coordsize="21600,21600" o:spt="100" adj="-11796480,,5400" path="m10692,21600r10908,l21600,10684,21600,,10190,,,,,10916,,21600r10692,xem3552,13565r,641l3409,14584r-359,437l2619,15429r-323,407l2045,16244r-143,320l1794,17001r36,465l2009,17932r251,379l2548,18718r502,408l3552,19533r790,204l5095,19737r754,l6351,19533r789,-407l7535,18747r359,-436l8145,17903r179,-495l8324,16942r-72,-349l8145,16244r-251,-408l7571,15429r-431,-408l6853,14613r-251,-407l6602,13565r,-5530l6602,7598r251,-611l7212,6579r431,-408l7894,5764r143,-233l8252,5153r108,-554l8288,4134,8145,3697,7894,3289,7499,2853,7033,2533,6387,2242,5849,2067,5095,1950r-861,88l3552,2271r-502,233l2548,2882r-323,349l1973,3697r-179,611l1794,4745r72,378l2045,5560r251,291l2548,6171r466,437l3301,6987r251,611l3552,8035r,5530xem10154,1863r8934,l19088,8238r-8934,l10154,1863t287,8238l10441,9461r8396,l18837,10101r-8396,m11374,11004r1256,l12630,12226r-1256,l11374,11004t2619,l15249,11004r,1222l13993,12226r,-1222m16649,11004r1255,l17904,12226r-1255,l16649,11004t-5275,1950l12630,12954r,1223l11374,14177r,-1223m13993,12954r1256,l15249,14177r-1256,l13993,12954t2656,l17904,12954r,1223l16649,14177r,-1223m11374,14905r1256,l12630,16127r-1256,l11374,14905t2619,l15249,14905r,1222l13993,16127r,-1222m16649,14905r1255,l17904,16127r-1255,l16649,14905t-5275,1950l12630,16855r,1223l11374,18078r,-1223m13993,16855r1256,l15249,18078r-1256,l13993,16855t2656,l17904,16855r,1223l16649,18078r,-1223e" fillcolor="#ffc">
            <v:stroke joinstyle="miter"/>
            <v:formulas/>
            <v:path o:extrusionok="f" o:connecttype="custom" o:connectlocs="0,0;10800,0;21600,0;21600,10800;21600,21600;10800,21600;0,21600;0,10800" textboxrect="200,23516,21400,40485"/>
            <o:lock v:ext="edit" verticies="t"/>
          </v:shape>
        </w:pict>
      </w:r>
      <w:r>
        <w:rPr>
          <w:noProof/>
          <w:lang w:eastAsia="fr-FR"/>
        </w:rPr>
        <w:pict>
          <v:shape id="phone3" o:spid="_x0000_s1081" style="position:absolute;left:0;text-align:left;margin-left:174.3pt;margin-top:12.65pt;width:36pt;height:36pt;z-index:251678720" coordsize="21600,21600" o:spt="100" adj="-11796480,,5400" path="m10692,21600r10908,l21600,10684,21600,,10190,,,,,10916,,21600r10692,xem3552,13565r,641l3409,14584r-359,437l2619,15429r-323,407l2045,16244r-143,320l1794,17001r36,465l2009,17932r251,379l2548,18718r502,408l3552,19533r790,204l5095,19737r754,l6351,19533r789,-407l7535,18747r359,-436l8145,17903r179,-495l8324,16942r-72,-349l8145,16244r-251,-408l7571,15429r-431,-408l6853,14613r-251,-407l6602,13565r,-5530l6602,7598r251,-611l7212,6579r431,-408l7894,5764r143,-233l8252,5153r108,-554l8288,4134,8145,3697,7894,3289,7499,2853,7033,2533,6387,2242,5849,2067,5095,1950r-861,88l3552,2271r-502,233l2548,2882r-323,349l1973,3697r-179,611l1794,4745r72,378l2045,5560r251,291l2548,6171r466,437l3301,6987r251,611l3552,8035r,5530xem10154,1863r8934,l19088,8238r-8934,l10154,1863t287,8238l10441,9461r8396,l18837,10101r-8396,m11374,11004r1256,l12630,12226r-1256,l11374,11004t2619,l15249,11004r,1222l13993,12226r,-1222m16649,11004r1255,l17904,12226r-1255,l16649,11004t-5275,1950l12630,12954r,1223l11374,14177r,-1223m13993,12954r1256,l15249,14177r-1256,l13993,12954t2656,l17904,12954r,1223l16649,14177r,-1223m11374,14905r1256,l12630,16127r-1256,l11374,14905t2619,l15249,14905r,1222l13993,16127r,-1222m16649,14905r1255,l17904,16127r-1255,l16649,14905t-5275,1950l12630,16855r,1223l11374,18078r,-1223m13993,16855r1256,l15249,18078r-1256,l13993,16855t2656,l17904,16855r,1223l16649,18078r,-1223e" fillcolor="#ffc">
            <v:stroke joinstyle="miter"/>
            <v:formulas/>
            <v:path o:extrusionok="f" o:connecttype="custom" o:connectlocs="0,0;10800,0;21600,0;21600,10800;21600,21600;10800,21600;0,21600;0,10800" textboxrect="200,23516,21400,40485"/>
            <o:lock v:ext="edit" verticies="t"/>
          </v:shape>
        </w:pict>
      </w:r>
    </w:p>
    <w:p w:rsidR="00AD389C" w:rsidRDefault="00AD389C" w:rsidP="006429D2">
      <w:pPr>
        <w:ind w:left="426"/>
      </w:pPr>
    </w:p>
    <w:p w:rsidR="00AD389C" w:rsidRDefault="00B27A2A" w:rsidP="006429D2">
      <w:pPr>
        <w:ind w:left="426"/>
      </w:pPr>
      <w:r>
        <w:rPr>
          <w:noProof/>
          <w:lang w:eastAsia="fr-FR"/>
        </w:rPr>
        <w:pict>
          <v:shape id="_x0000_s1094" type="#_x0000_t202" style="position:absolute;left:0;text-align:left;margin-left:257.55pt;margin-top:4.25pt;width:77.55pt;height:32.7pt;z-index:251687936" filled="f" stroked="f">
            <v:textbox>
              <w:txbxContent>
                <w:p w:rsidR="00C43589" w:rsidRDefault="00C43589" w:rsidP="007563DE">
                  <w:r>
                    <w:t>N° poste : 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3" type="#_x0000_t202" style="position:absolute;left:0;text-align:left;margin-left:157.55pt;margin-top:3.8pt;width:77.55pt;height:32.7pt;z-index:251686912" filled="f" stroked="f">
            <v:textbox>
              <w:txbxContent>
                <w:p w:rsidR="00C43589" w:rsidRDefault="00C43589" w:rsidP="007563DE">
                  <w:r>
                    <w:t>N° poste : 1</w:t>
                  </w:r>
                </w:p>
              </w:txbxContent>
            </v:textbox>
          </v:shape>
        </w:pict>
      </w:r>
    </w:p>
    <w:p w:rsidR="001F560B" w:rsidRDefault="001F560B" w:rsidP="006429D2">
      <w:pPr>
        <w:ind w:left="426"/>
      </w:pPr>
    </w:p>
    <w:p w:rsidR="007563DE" w:rsidRDefault="007563DE" w:rsidP="006429D2">
      <w:pPr>
        <w:ind w:left="426"/>
      </w:pPr>
      <w:r>
        <w:t>Pour observer les signaux entre la PABX et un appareil téléphonique, il faut introduire un boitier d’investigation permettant d’accéder aux différents conducteurs utiles du câble téléphonique.</w:t>
      </w:r>
    </w:p>
    <w:p w:rsidR="007563DE" w:rsidRDefault="007563DE" w:rsidP="006429D2">
      <w:pPr>
        <w:ind w:left="426"/>
      </w:pPr>
      <w:r>
        <w:t>Le raccordement s’effectue au moyens de câbles téléphoniques et de prise RJ11. Seuls les deux conducteurs du milieu sont utilisés :</w:t>
      </w:r>
    </w:p>
    <w:p w:rsidR="007563DE" w:rsidRDefault="007563DE" w:rsidP="006429D2">
      <w:pPr>
        <w:ind w:left="426"/>
      </w:pPr>
    </w:p>
    <w:p w:rsidR="007563DE" w:rsidRDefault="00B27A2A" w:rsidP="006429D2">
      <w:pPr>
        <w:ind w:left="426"/>
      </w:pPr>
      <w:r>
        <w:rPr>
          <w:noProof/>
          <w:lang w:eastAsia="fr-FR"/>
        </w:rPr>
        <w:pict>
          <v:group id="_x0000_s1104" style="position:absolute;left:0;text-align:left;margin-left:95.7pt;margin-top:.75pt;width:377.7pt;height:112.45pt;z-index:251700224" coordorigin="1130,9426" coordsize="7554,2249">
            <v:oval id="_x0000_s1095" style="position:absolute;left:4530;top:9925;width:521;height:509" strokeweight="1.5pt"/>
            <v:oval id="_x0000_s1096" style="position:absolute;left:4530;top:10674;width:521;height:509" strokeweight="1.5pt"/>
            <v:shape id="_x0000_s1097" type="#_x0000_t202" style="position:absolute;left:4530;top:9426;width:715;height:587" filled="f" stroked="f">
              <v:textbox style="mso-next-textbox:#_x0000_s1097">
                <w:txbxContent>
                  <w:p w:rsidR="00C43589" w:rsidRDefault="00C43589">
                    <w:r>
                      <w:t>V2</w:t>
                    </w:r>
                  </w:p>
                </w:txbxContent>
              </v:textbox>
            </v:shape>
            <v:shape id="_x0000_s1098" type="#_x0000_t202" style="position:absolute;left:4538;top:11033;width:715;height:587" filled="f" stroked="f">
              <v:textbox style="mso-next-textbox:#_x0000_s1098">
                <w:txbxContent>
                  <w:p w:rsidR="00C43589" w:rsidRDefault="00C43589" w:rsidP="000C1F66">
                    <w:r>
                      <w:t>V3</w:t>
                    </w:r>
                  </w:p>
                </w:txbxContent>
              </v:textbox>
            </v:shape>
            <v:shape id="_x0000_s1099" type="#_x0000_t34" style="position:absolute;left:2238;top:10146;width:2292;height:366;flip:y" o:connectortype="elbow" adj=",620380,-21091" strokeweight="2.25pt"/>
            <v:shape id="_x0000_s1100" type="#_x0000_t34" style="position:absolute;left:5051;top:10146;width:2521;height:528" o:connectortype="elbow" adj="10796,-415064,-43277" strokeweight="2.25pt"/>
            <v:shape id="_x0000_s1101" type="#_x0000_t34" style="position:absolute;left:2238;top:10800;width:2292;height:111" o:connectortype="elbow" adj=",-2101622,-21091" strokeweight="2.25pt"/>
            <v:shape id="_x0000_s1102" type="#_x0000_t34" style="position:absolute;left:5051;top:10379;width:2521;height:532;flip:y" o:connectortype="elbow" adj="8610,443003,-43277" strokeweight="2.25pt"/>
            <v:rect id="_x0000_s1103" style="position:absolute;left:1130;top:9548;width:7554;height:2127" filled="f" strokeweight="1.5pt"/>
          </v:group>
        </w:pict>
      </w:r>
    </w:p>
    <w:p w:rsidR="007563DE" w:rsidRDefault="000C1F66" w:rsidP="006429D2">
      <w:pPr>
        <w:ind w:left="426"/>
      </w:pP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5161280</wp:posOffset>
            </wp:positionH>
            <wp:positionV relativeFrom="paragraph">
              <wp:posOffset>126365</wp:posOffset>
            </wp:positionV>
            <wp:extent cx="921385" cy="673735"/>
            <wp:effectExtent l="0" t="133350" r="0" b="107315"/>
            <wp:wrapThrough wrapText="bothSides">
              <wp:wrapPolygon edited="0">
                <wp:start x="21823" y="-305"/>
                <wp:lineTo x="387" y="-305"/>
                <wp:lineTo x="387" y="21681"/>
                <wp:lineTo x="21823" y="21681"/>
                <wp:lineTo x="21823" y="-305"/>
              </wp:wrapPolygon>
            </wp:wrapThrough>
            <wp:docPr id="11" name="Image 7" descr="rj11_numbroc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11_numbroches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138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1137920</wp:posOffset>
            </wp:positionH>
            <wp:positionV relativeFrom="paragraph">
              <wp:posOffset>200660</wp:posOffset>
            </wp:positionV>
            <wp:extent cx="921385" cy="685165"/>
            <wp:effectExtent l="0" t="114300" r="0" b="95885"/>
            <wp:wrapThrough wrapText="bothSides">
              <wp:wrapPolygon edited="0">
                <wp:start x="89" y="22321"/>
                <wp:lineTo x="21079" y="22321"/>
                <wp:lineTo x="21079" y="100"/>
                <wp:lineTo x="89" y="100"/>
                <wp:lineTo x="89" y="22321"/>
              </wp:wrapPolygon>
            </wp:wrapThrough>
            <wp:docPr id="9" name="Image 7" descr="rj11_numbroc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11_numbroches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138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3DE" w:rsidRDefault="007563DE" w:rsidP="006429D2">
      <w:pPr>
        <w:ind w:left="426"/>
      </w:pPr>
    </w:p>
    <w:p w:rsidR="007563DE" w:rsidRDefault="007563DE" w:rsidP="006429D2">
      <w:pPr>
        <w:ind w:left="426"/>
      </w:pPr>
    </w:p>
    <w:p w:rsidR="007563DE" w:rsidRDefault="007563DE" w:rsidP="006429D2">
      <w:pPr>
        <w:ind w:left="426"/>
      </w:pPr>
    </w:p>
    <w:p w:rsidR="007563DE" w:rsidRDefault="007563DE" w:rsidP="006429D2">
      <w:pPr>
        <w:ind w:left="426"/>
      </w:pPr>
    </w:p>
    <w:p w:rsidR="000C1F66" w:rsidRDefault="000C1F66" w:rsidP="006429D2">
      <w:pPr>
        <w:ind w:left="426"/>
      </w:pPr>
    </w:p>
    <w:p w:rsidR="000C1F66" w:rsidRDefault="000C1F66" w:rsidP="006429D2">
      <w:pPr>
        <w:ind w:left="426"/>
      </w:pPr>
      <w:r>
        <w:t>Le signal transmis étant de type différentiel, il faudra peut-être utiliser une sonde différentielle. Consultez la notice de votre oscilloscope.</w:t>
      </w:r>
    </w:p>
    <w:p w:rsidR="000C1F66" w:rsidRDefault="000C1F66" w:rsidP="006429D2">
      <w:pPr>
        <w:ind w:left="426"/>
      </w:pPr>
      <w:r>
        <w:t>Ce dernier doit par-ailleurs pouvoir calculer et afficher la FFT des signaux observés.</w:t>
      </w:r>
    </w:p>
    <w:p w:rsidR="008D6347" w:rsidRDefault="008D6347" w:rsidP="006429D2">
      <w:pPr>
        <w:ind w:left="426"/>
      </w:pPr>
    </w:p>
    <w:p w:rsidR="008D6347" w:rsidRDefault="008D6347">
      <w:pPr>
        <w:spacing w:before="0" w:after="200" w:line="276" w:lineRule="auto"/>
      </w:pPr>
      <w:r>
        <w:br w:type="page"/>
      </w:r>
    </w:p>
    <w:p w:rsidR="000C1F66" w:rsidRDefault="008D6347" w:rsidP="008D6347">
      <w:pPr>
        <w:pStyle w:val="Titre1"/>
      </w:pPr>
      <w:bookmarkStart w:id="2" w:name="_Toc314501972"/>
      <w:r>
        <w:lastRenderedPageBreak/>
        <w:t>Fonctionnement</w:t>
      </w:r>
      <w:bookmarkEnd w:id="2"/>
    </w:p>
    <w:p w:rsidR="008D6347" w:rsidRDefault="008D6347" w:rsidP="008D6347">
      <w:pPr>
        <w:pStyle w:val="Titre2"/>
      </w:pPr>
      <w:bookmarkStart w:id="3" w:name="_Toc314501973"/>
      <w:r>
        <w:t>Les informations échangées entre le poste téléphonique et le PABX</w:t>
      </w:r>
      <w:bookmarkEnd w:id="3"/>
    </w:p>
    <w:p w:rsidR="00D4327B" w:rsidRDefault="00D4327B" w:rsidP="00D4327B">
      <w:pPr>
        <w:pStyle w:val="Titre3"/>
      </w:pPr>
      <w:bookmarkStart w:id="4" w:name="_Toc314501974"/>
      <w:r>
        <w:t>La détection de prise de ligne</w:t>
      </w:r>
      <w:bookmarkEnd w:id="4"/>
    </w:p>
    <w:p w:rsidR="00D4327B" w:rsidRDefault="00D4327B" w:rsidP="00D4327B">
      <w:pPr>
        <w:ind w:left="1276"/>
      </w:pPr>
      <w:r>
        <w:t>Dès qu’un utilisateur décroche le combiné de son poste, le PABX détecte instantanément cet évènement, et transmet à destination de l’écouteur du combiné du poste de l’abonné A, la tonalité d’invitation à numéroter.</w:t>
      </w:r>
    </w:p>
    <w:p w:rsidR="00D4327B" w:rsidRDefault="00D4327B" w:rsidP="00D4327B">
      <w:pPr>
        <w:pStyle w:val="Titre3"/>
      </w:pPr>
      <w:bookmarkStart w:id="5" w:name="_Toc314501975"/>
      <w:r>
        <w:t>La numérotation</w:t>
      </w:r>
      <w:bookmarkEnd w:id="5"/>
    </w:p>
    <w:p w:rsidR="00D4327B" w:rsidRDefault="00D4327B" w:rsidP="00D4327B">
      <w:pPr>
        <w:ind w:left="1276"/>
      </w:pPr>
      <w:r>
        <w:t>En interne, le numéro de chaque poste ne comporte qu’un chiffre, celui du connecteur où le poste est branché.</w:t>
      </w:r>
    </w:p>
    <w:p w:rsidR="00D4327B" w:rsidRDefault="00D4327B" w:rsidP="00D4327B">
      <w:pPr>
        <w:ind w:left="1276"/>
      </w:pPr>
      <w:r>
        <w:t>Pour accéder au réseau téléphonique de l’établissement, on compose le 0, puis le numéro du poste à joindre (généralement</w:t>
      </w:r>
      <w:r w:rsidR="00AF510D">
        <w:t xml:space="preserve"> composé de 3 chiffres).</w:t>
      </w:r>
    </w:p>
    <w:p w:rsidR="00AF510D" w:rsidRDefault="00AF510D" w:rsidP="00D4327B">
      <w:pPr>
        <w:ind w:left="1276"/>
      </w:pPr>
      <w:r>
        <w:t>Pour accéder à l’extérieur, il faut composer le 0, puis le 0 (ou le 9). Il faut que la ligne de l’établissement utilisée soit autorisée à sortir directement (ligne directe).</w:t>
      </w:r>
    </w:p>
    <w:p w:rsidR="00D4327B" w:rsidRDefault="00AF510D" w:rsidP="00D4327B">
      <w:pPr>
        <w:ind w:left="1276"/>
      </w:pPr>
      <w:r>
        <w:t>On notera qu</w:t>
      </w:r>
      <w:r w:rsidR="00D4327B">
        <w:t>e les tonalités d’invitation à numéroter (celle qui suit le décrochage du combiné</w:t>
      </w:r>
      <w:r>
        <w:t xml:space="preserve"> et</w:t>
      </w:r>
      <w:r w:rsidR="00D4327B">
        <w:t xml:space="preserve"> </w:t>
      </w:r>
      <w:r>
        <w:t>celle qui suit la numérotation du</w:t>
      </w:r>
      <w:r w:rsidR="00D4327B">
        <w:t xml:space="preserve"> 0 de demande d’appel vers l’extérieur)</w:t>
      </w:r>
      <w:r>
        <w:t xml:space="preserve"> </w:t>
      </w:r>
      <w:r w:rsidR="00D4327B">
        <w:t>présentent des sonorités différentes, et que pendant la phase d’appel proprement dite, c'est-à-dire</w:t>
      </w:r>
      <w:r>
        <w:t xml:space="preserve"> </w:t>
      </w:r>
      <w:r w:rsidR="00D4327B">
        <w:t>pendant la phase de numérotation, aucune tonalité n’est transmise par le PABX.</w:t>
      </w:r>
    </w:p>
    <w:p w:rsidR="00D4327B" w:rsidRDefault="00D4327B" w:rsidP="00D4327B">
      <w:pPr>
        <w:ind w:left="1276"/>
      </w:pPr>
      <w:r>
        <w:t>Enfin précisons qu’à chaque fois que l’abonné appuie sur une touche de numérotation, le poste</w:t>
      </w:r>
      <w:r w:rsidR="00AF510D">
        <w:t xml:space="preserve"> </w:t>
      </w:r>
      <w:r>
        <w:t>téléphonique transmet l’information significative du numéro de la touche appuyée non seulement au</w:t>
      </w:r>
      <w:r w:rsidR="00AF510D">
        <w:t xml:space="preserve"> </w:t>
      </w:r>
      <w:r>
        <w:t>PABX, mais également en retour, à l’écouteur du combiné.</w:t>
      </w:r>
    </w:p>
    <w:p w:rsidR="00D4327B" w:rsidRDefault="00AF510D" w:rsidP="00AF510D">
      <w:pPr>
        <w:pStyle w:val="Titre3"/>
      </w:pPr>
      <w:bookmarkStart w:id="6" w:name="_Toc314501976"/>
      <w:r>
        <w:t>La mise en communication</w:t>
      </w:r>
      <w:bookmarkEnd w:id="6"/>
    </w:p>
    <w:p w:rsidR="00D4327B" w:rsidRDefault="004A5635" w:rsidP="00D4327B">
      <w:pPr>
        <w:ind w:left="1276"/>
      </w:pPr>
      <w:r>
        <w:t>L</w:t>
      </w:r>
      <w:r w:rsidR="00D4327B">
        <w:t xml:space="preserve">e PABX </w:t>
      </w:r>
      <w:r>
        <w:t>reçoit</w:t>
      </w:r>
      <w:r w:rsidR="00D4327B">
        <w:t xml:space="preserve"> le numéro d’appel</w:t>
      </w:r>
      <w:r>
        <w:t xml:space="preserve"> et retourne</w:t>
      </w:r>
      <w:r w:rsidR="00D4327B">
        <w:t xml:space="preserve"> l’information indiquant si </w:t>
      </w:r>
      <w:r>
        <w:t>le poste à joindre</w:t>
      </w:r>
      <w:r w:rsidR="00D4327B">
        <w:t xml:space="preserve"> est occupé ou </w:t>
      </w:r>
      <w:r>
        <w:t>libre.</w:t>
      </w:r>
    </w:p>
    <w:p w:rsidR="004A5635" w:rsidRDefault="00D4327B" w:rsidP="004A5635">
      <w:pPr>
        <w:pStyle w:val="Titre3"/>
      </w:pPr>
      <w:bookmarkStart w:id="7" w:name="_Toc314501977"/>
      <w:r>
        <w:t>La conversation téléphonique proprement</w:t>
      </w:r>
      <w:bookmarkEnd w:id="7"/>
    </w:p>
    <w:p w:rsidR="00D4327B" w:rsidRDefault="00D4327B" w:rsidP="00D4327B">
      <w:pPr>
        <w:ind w:left="1276"/>
      </w:pPr>
      <w:r>
        <w:t>Dès que l</w:t>
      </w:r>
      <w:r w:rsidR="004A5635">
        <w:t xml:space="preserve">e destinataire de l’appel </w:t>
      </w:r>
      <w:r>
        <w:t>décroche, le PABX établit et maintient u</w:t>
      </w:r>
      <w:r w:rsidR="004A5635">
        <w:t>n canal de communication ouvert</w:t>
      </w:r>
      <w:r>
        <w:t>.</w:t>
      </w:r>
    </w:p>
    <w:p w:rsidR="004A5635" w:rsidRDefault="004A5635" w:rsidP="004A5635">
      <w:pPr>
        <w:pStyle w:val="Titre3"/>
      </w:pPr>
      <w:bookmarkStart w:id="8" w:name="_Toc314501978"/>
      <w:r>
        <w:t>La fin de la prise de ligne</w:t>
      </w:r>
      <w:bookmarkEnd w:id="8"/>
    </w:p>
    <w:p w:rsidR="00D4327B" w:rsidRDefault="00D4327B" w:rsidP="00D4327B">
      <w:pPr>
        <w:ind w:left="1276"/>
      </w:pPr>
      <w:r>
        <w:t xml:space="preserve">Ce n’est que lorsque les deux </w:t>
      </w:r>
      <w:r w:rsidR="004A5635">
        <w:t>postes</w:t>
      </w:r>
      <w:r>
        <w:t xml:space="preserve"> ont raccroché que le PABX ferme le canal de</w:t>
      </w:r>
      <w:r w:rsidR="004A5635">
        <w:t xml:space="preserve"> </w:t>
      </w:r>
      <w:r>
        <w:t>communication, libérant ainsi leurs lignes respectives.</w:t>
      </w:r>
    </w:p>
    <w:p w:rsidR="00D4327B" w:rsidRDefault="00D4327B" w:rsidP="004A5635">
      <w:pPr>
        <w:pStyle w:val="Titre3"/>
      </w:pPr>
      <w:bookmarkStart w:id="9" w:name="_Toc314501979"/>
      <w:r>
        <w:t>Différenciation voix / signalisation</w:t>
      </w:r>
      <w:bookmarkEnd w:id="9"/>
    </w:p>
    <w:p w:rsidR="00D4327B" w:rsidRDefault="004A5635" w:rsidP="00D4327B">
      <w:pPr>
        <w:ind w:left="1276"/>
      </w:pPr>
      <w:r>
        <w:t>Durant la</w:t>
      </w:r>
      <w:r w:rsidR="00D4327B">
        <w:t xml:space="preserve"> conversation proprement, les informations transitant sur la ligne téléphonique correspondent aux</w:t>
      </w:r>
      <w:r>
        <w:t xml:space="preserve"> </w:t>
      </w:r>
      <w:r w:rsidR="00D4327B">
        <w:t>informations orales échangées, ce qui constitue ce qu’on appelle la voix.</w:t>
      </w:r>
    </w:p>
    <w:p w:rsidR="00D4327B" w:rsidRDefault="00D4327B" w:rsidP="00D4327B">
      <w:pPr>
        <w:ind w:left="1276"/>
      </w:pPr>
      <w:r>
        <w:t xml:space="preserve">En revanche, </w:t>
      </w:r>
      <w:r w:rsidR="00696A42">
        <w:t xml:space="preserve">entre la prise de ligne de l’appelant et l’instant ou l’appelé décroche, puis entre l’instant ou l’un des deux raccroche et celui ou l’autre raccroche à son tour, le PABX </w:t>
      </w:r>
      <w:r>
        <w:t>:</w:t>
      </w:r>
    </w:p>
    <w:p w:rsidR="00D4327B" w:rsidRDefault="00D4327B" w:rsidP="00696A42">
      <w:pPr>
        <w:pStyle w:val="Paragraphedeliste"/>
        <w:numPr>
          <w:ilvl w:val="0"/>
          <w:numId w:val="9"/>
        </w:numPr>
      </w:pPr>
      <w:r>
        <w:t>reçoit des informations en provenance des postes téléphoniques,</w:t>
      </w:r>
    </w:p>
    <w:p w:rsidR="00D4327B" w:rsidRDefault="00D4327B" w:rsidP="00696A42">
      <w:pPr>
        <w:pStyle w:val="Paragraphedeliste"/>
        <w:numPr>
          <w:ilvl w:val="0"/>
          <w:numId w:val="9"/>
        </w:numPr>
      </w:pPr>
      <w:r>
        <w:t>transmet des commandes à destination des postes téléphoniques.</w:t>
      </w:r>
    </w:p>
    <w:p w:rsidR="00D4327B" w:rsidRDefault="00D4327B" w:rsidP="00D4327B">
      <w:pPr>
        <w:ind w:left="1276"/>
      </w:pPr>
      <w:r>
        <w:t>Ces informations et commandes constituent, ce qu’on appelle en téléphonie, la signalisation.</w:t>
      </w:r>
    </w:p>
    <w:p w:rsidR="008D6347" w:rsidRDefault="00D4327B" w:rsidP="00D4327B">
      <w:pPr>
        <w:ind w:left="1276"/>
      </w:pPr>
      <w:r>
        <w:t>Ainsi, les deux types d’informations, voix et signalisation, transitent-ils via le même canal de</w:t>
      </w:r>
      <w:r w:rsidR="00696A42">
        <w:t xml:space="preserve"> </w:t>
      </w:r>
      <w:r>
        <w:t>transmission constitué par les 2 conducteurs du câble téléphonique.</w:t>
      </w:r>
    </w:p>
    <w:p w:rsidR="008D6347" w:rsidRDefault="008D6347" w:rsidP="008D6347">
      <w:pPr>
        <w:pStyle w:val="Titre2"/>
      </w:pPr>
      <w:bookmarkStart w:id="10" w:name="_Toc314501980"/>
      <w:r>
        <w:lastRenderedPageBreak/>
        <w:t>Les signaux associés</w:t>
      </w:r>
      <w:bookmarkEnd w:id="10"/>
    </w:p>
    <w:p w:rsidR="00696A42" w:rsidRDefault="00696A42" w:rsidP="00696A42">
      <w:pPr>
        <w:pStyle w:val="Titre3"/>
      </w:pPr>
      <w:bookmarkStart w:id="11" w:name="_Toc314501981"/>
      <w:r>
        <w:t>Différenciation combiné raccroché / combiné décroché</w:t>
      </w:r>
      <w:bookmarkEnd w:id="11"/>
    </w:p>
    <w:p w:rsidR="00696A42" w:rsidRDefault="00696A42" w:rsidP="002734E9">
      <w:pPr>
        <w:ind w:left="1276"/>
      </w:pPr>
      <w:r>
        <w:t xml:space="preserve">Lorsque le combiné téléphonique est raccroché, la tension différentielle </w:t>
      </w:r>
      <w:r w:rsidRPr="00E75200">
        <w:rPr>
          <w:rFonts w:ascii="Times New Roman" w:hAnsi="Times New Roman" w:cs="Times New Roman"/>
          <w:i/>
        </w:rPr>
        <w:t>V32</w:t>
      </w:r>
      <w:r>
        <w:t xml:space="preserve"> (</w:t>
      </w:r>
      <w:r w:rsidRPr="00E75200">
        <w:rPr>
          <w:rFonts w:ascii="Times New Roman" w:hAnsi="Times New Roman" w:cs="Times New Roman"/>
          <w:i/>
        </w:rPr>
        <w:t>V3</w:t>
      </w:r>
      <w:r>
        <w:t>-</w:t>
      </w:r>
      <w:r w:rsidRPr="00E75200">
        <w:rPr>
          <w:rFonts w:ascii="Times New Roman" w:hAnsi="Times New Roman" w:cs="Times New Roman"/>
          <w:i/>
        </w:rPr>
        <w:t>V2</w:t>
      </w:r>
      <w:r>
        <w:t xml:space="preserve">) est égale à une tension continue dont nous noterons l’amplitude </w:t>
      </w:r>
      <w:proofErr w:type="spellStart"/>
      <w:r w:rsidRPr="00E75200">
        <w:rPr>
          <w:rFonts w:ascii="Times New Roman" w:hAnsi="Times New Roman" w:cs="Times New Roman"/>
          <w:i/>
        </w:rPr>
        <w:t>Erac</w:t>
      </w:r>
      <w:proofErr w:type="spellEnd"/>
      <w:r>
        <w:t>. Cette tension continue est élaborée par le PABX.</w:t>
      </w:r>
    </w:p>
    <w:p w:rsidR="008D6347" w:rsidRDefault="00696A42" w:rsidP="002734E9">
      <w:pPr>
        <w:ind w:left="1276"/>
      </w:pPr>
      <w:r>
        <w:t xml:space="preserve">Lorsque le combiné téléphonique est décroché, un dispositif électromécanique intégré au téléphone a pour effet de modifier l’amplitude de la tension continue </w:t>
      </w:r>
      <w:r w:rsidRPr="00E75200">
        <w:rPr>
          <w:rFonts w:ascii="Times New Roman" w:hAnsi="Times New Roman" w:cs="Times New Roman"/>
          <w:i/>
        </w:rPr>
        <w:t>V32</w:t>
      </w:r>
      <w:r>
        <w:t xml:space="preserve"> à une valeur que nous appellerons </w:t>
      </w:r>
      <w:proofErr w:type="spellStart"/>
      <w:r w:rsidRPr="00E75200">
        <w:rPr>
          <w:rFonts w:ascii="Times New Roman" w:hAnsi="Times New Roman" w:cs="Times New Roman"/>
          <w:i/>
        </w:rPr>
        <w:t>Edec</w:t>
      </w:r>
      <w:proofErr w:type="spellEnd"/>
      <w:r>
        <w:t>.</w:t>
      </w:r>
    </w:p>
    <w:p w:rsidR="00696A42" w:rsidRDefault="00696A42" w:rsidP="002734E9">
      <w:pPr>
        <w:ind w:left="1276"/>
      </w:pPr>
      <w:r>
        <w:t>Ainsi, le PABX détecte les instants correspondant aux évènements « combiné décroché » ainsi que «</w:t>
      </w:r>
      <w:r w:rsidR="005668EA">
        <w:t> </w:t>
      </w:r>
      <w:r>
        <w:t xml:space="preserve">combiné raccroché » par une simple mesure de l’amplitude de la tension continue </w:t>
      </w:r>
      <w:r w:rsidRPr="00E75200">
        <w:rPr>
          <w:rFonts w:ascii="Times New Roman" w:hAnsi="Times New Roman" w:cs="Times New Roman"/>
          <w:i/>
        </w:rPr>
        <w:t>V32</w:t>
      </w:r>
      <w:r>
        <w:t xml:space="preserve"> présente sur la ligne téléphonique.</w:t>
      </w:r>
    </w:p>
    <w:p w:rsidR="002734E9" w:rsidRDefault="00C43589" w:rsidP="002734E9">
      <w:pPr>
        <w:ind w:left="993"/>
        <w:jc w:val="center"/>
      </w:pPr>
      <w:r>
        <w:rPr>
          <w:noProof/>
          <w:lang w:eastAsia="fr-FR"/>
        </w:rPr>
        <w:drawing>
          <wp:inline distT="0" distB="0" distL="0" distR="0">
            <wp:extent cx="3269129" cy="1562904"/>
            <wp:effectExtent l="19050" t="0" r="7471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7" cy="156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4E9" w:rsidRDefault="002734E9" w:rsidP="002734E9">
      <w:pPr>
        <w:pStyle w:val="Titre3"/>
      </w:pPr>
      <w:bookmarkStart w:id="12" w:name="_Toc314501982"/>
      <w:r>
        <w:t>Les tensions significatives des informations de voix et de signalisation</w:t>
      </w:r>
      <w:bookmarkEnd w:id="12"/>
    </w:p>
    <w:p w:rsidR="002734E9" w:rsidRDefault="002734E9" w:rsidP="002734E9">
      <w:pPr>
        <w:ind w:left="1276"/>
      </w:pPr>
      <w:r>
        <w:t xml:space="preserve">Les informations de voix et de signalisation sont portées par des tensions variables qui viennent se superposer à la tension continue d’amplitude </w:t>
      </w:r>
      <w:proofErr w:type="spellStart"/>
      <w:r w:rsidRPr="00E75200">
        <w:rPr>
          <w:rFonts w:ascii="Times New Roman" w:hAnsi="Times New Roman" w:cs="Times New Roman"/>
          <w:i/>
        </w:rPr>
        <w:t>Edec</w:t>
      </w:r>
      <w:proofErr w:type="spellEnd"/>
      <w:r>
        <w:t>.</w:t>
      </w:r>
    </w:p>
    <w:p w:rsidR="002734E9" w:rsidRDefault="00C43589" w:rsidP="002734E9">
      <w:pPr>
        <w:ind w:left="1276"/>
      </w:pPr>
      <w:r>
        <w:rPr>
          <w:noProof/>
          <w:lang w:eastAsia="fr-FR"/>
        </w:rPr>
        <w:drawing>
          <wp:inline distT="0" distB="0" distL="0" distR="0">
            <wp:extent cx="5404711" cy="1346284"/>
            <wp:effectExtent l="19050" t="0" r="5489" b="0"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000" cy="134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347" w:rsidRDefault="008D6347" w:rsidP="008D6347">
      <w:pPr>
        <w:pStyle w:val="Titre2"/>
      </w:pPr>
      <w:bookmarkStart w:id="13" w:name="_Toc314501983"/>
      <w:r>
        <w:t>La bande passante du Réseau Téléphonique Commuté</w:t>
      </w:r>
      <w:bookmarkEnd w:id="13"/>
    </w:p>
    <w:p w:rsidR="007D1CA2" w:rsidRDefault="007D1CA2" w:rsidP="007D1CA2">
      <w:pPr>
        <w:ind w:left="1134"/>
      </w:pPr>
      <w:r>
        <w:t>L’oreille humaine « entend » globalement, les sons compris entre 20 Hz et 20 kHz.</w:t>
      </w:r>
    </w:p>
    <w:p w:rsidR="007D1CA2" w:rsidRDefault="007D1CA2" w:rsidP="007D1CA2">
      <w:pPr>
        <w:ind w:left="1134"/>
      </w:pPr>
      <w:r>
        <w:t xml:space="preserve">Les amplificateurs de qualité </w:t>
      </w:r>
      <w:proofErr w:type="spellStart"/>
      <w:r>
        <w:t>HiFi</w:t>
      </w:r>
      <w:proofErr w:type="spellEnd"/>
      <w:r>
        <w:t xml:space="preserve"> sont conçus de façon à restituer la musique enregistrée avec la plus</w:t>
      </w:r>
      <w:r w:rsidR="0018006A">
        <w:t xml:space="preserve"> </w:t>
      </w:r>
      <w:r>
        <w:t>grande qualité possible, ce qui signifie, compte tenu des caractéristiques physiologiques de l’oreille</w:t>
      </w:r>
      <w:r w:rsidR="0018006A">
        <w:t xml:space="preserve"> </w:t>
      </w:r>
      <w:r>
        <w:t>humaine, qu’ils restituent fidèlement, au niveau des enceintes, toutes les composantes fréquentielles</w:t>
      </w:r>
      <w:r w:rsidR="0018006A">
        <w:t xml:space="preserve"> </w:t>
      </w:r>
      <w:r>
        <w:t>sonores comprises entre 20 Hz et 20 kHz.</w:t>
      </w:r>
    </w:p>
    <w:p w:rsidR="00A239A5" w:rsidRDefault="00A239A5" w:rsidP="00A239A5">
      <w:pPr>
        <w:ind w:left="1134"/>
        <w:jc w:val="center"/>
      </w:pPr>
      <w:r w:rsidRPr="00A239A5">
        <w:rPr>
          <w:noProof/>
          <w:lang w:eastAsia="fr-FR"/>
        </w:rPr>
        <w:drawing>
          <wp:inline distT="0" distB="0" distL="0" distR="0">
            <wp:extent cx="4009540" cy="902447"/>
            <wp:effectExtent l="19050" t="0" r="0" b="0"/>
            <wp:docPr id="10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2390" t="43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540" cy="90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CA2" w:rsidRPr="0018006A" w:rsidRDefault="007D1CA2" w:rsidP="0018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rPr>
          <w:b/>
        </w:rPr>
      </w:pPr>
      <w:r w:rsidRPr="0018006A">
        <w:rPr>
          <w:b/>
        </w:rPr>
        <w:t>L’ensemble des composantes fréquentielles que le système audio est capable de traiter est désigné par</w:t>
      </w:r>
      <w:r w:rsidR="0018006A" w:rsidRPr="0018006A">
        <w:rPr>
          <w:b/>
        </w:rPr>
        <w:t xml:space="preserve"> </w:t>
      </w:r>
      <w:r w:rsidRPr="0018006A">
        <w:rPr>
          <w:b/>
        </w:rPr>
        <w:t>le terme bande passante.</w:t>
      </w:r>
    </w:p>
    <w:p w:rsidR="007D1CA2" w:rsidRDefault="007D1CA2" w:rsidP="007D1CA2">
      <w:pPr>
        <w:ind w:left="1134"/>
      </w:pPr>
      <w:r>
        <w:t xml:space="preserve">Par conséquent, pour qu’un un système audio soit certifié de qualité </w:t>
      </w:r>
      <w:proofErr w:type="spellStart"/>
      <w:r>
        <w:t>HiFi</w:t>
      </w:r>
      <w:proofErr w:type="spellEnd"/>
      <w:r>
        <w:t>, il faut que chacun des</w:t>
      </w:r>
      <w:r w:rsidR="0018006A">
        <w:t xml:space="preserve"> </w:t>
      </w:r>
      <w:r>
        <w:t>éléments qui le composent (platine CD + amplificateur + enceintes), présente une bande passante dont</w:t>
      </w:r>
      <w:r w:rsidR="0018006A">
        <w:t xml:space="preserve"> </w:t>
      </w:r>
      <w:r>
        <w:t>la limite basse est inférieure ou égale à 20 Hz et la limite haute est supérieure ou égale à 20 kHz.</w:t>
      </w:r>
    </w:p>
    <w:p w:rsidR="007D1CA2" w:rsidRDefault="0018006A" w:rsidP="007D1CA2">
      <w:pPr>
        <w:ind w:left="1134"/>
      </w:pPr>
      <w:r>
        <w:lastRenderedPageBreak/>
        <w:t>L</w:t>
      </w:r>
      <w:r w:rsidR="007D1CA2">
        <w:t>a qualité sonore des signaux téléphoniques est très inférieure à celle d’un système</w:t>
      </w:r>
      <w:r>
        <w:t xml:space="preserve"> </w:t>
      </w:r>
      <w:r w:rsidR="007D1CA2">
        <w:t xml:space="preserve">audio de qualité </w:t>
      </w:r>
      <w:proofErr w:type="spellStart"/>
      <w:r w:rsidR="007D1CA2">
        <w:t>HiFi</w:t>
      </w:r>
      <w:proofErr w:type="spellEnd"/>
      <w:r w:rsidR="007D1CA2">
        <w:t>.</w:t>
      </w:r>
    </w:p>
    <w:p w:rsidR="007D1CA2" w:rsidRDefault="007D1CA2" w:rsidP="007D1CA2">
      <w:pPr>
        <w:ind w:left="1134"/>
      </w:pPr>
      <w:r>
        <w:t>Lorsque l’</w:t>
      </w:r>
      <w:r w:rsidR="0018006A">
        <w:t>on</w:t>
      </w:r>
      <w:r>
        <w:t xml:space="preserve"> parle dans le microphone</w:t>
      </w:r>
      <w:r w:rsidR="0018006A">
        <w:t xml:space="preserve"> d’un téléphone</w:t>
      </w:r>
      <w:r>
        <w:t xml:space="preserve">, la </w:t>
      </w:r>
      <w:r w:rsidR="0018006A">
        <w:t xml:space="preserve">tension de sortie est </w:t>
      </w:r>
      <w:r>
        <w:t>transmise</w:t>
      </w:r>
      <w:r w:rsidR="0018006A">
        <w:t xml:space="preserve"> </w:t>
      </w:r>
      <w:r>
        <w:t>jusqu’à l’entrée du convertisse</w:t>
      </w:r>
      <w:r w:rsidR="0018006A">
        <w:t xml:space="preserve">ur analogique-numérique du PABX, </w:t>
      </w:r>
      <w:r>
        <w:t>est prélevée puis convertie en un</w:t>
      </w:r>
      <w:r w:rsidR="0018006A">
        <w:t xml:space="preserve"> </w:t>
      </w:r>
      <w:r>
        <w:t>nombre N</w:t>
      </w:r>
      <w:r w:rsidR="0018006A">
        <w:t xml:space="preserve"> </w:t>
      </w:r>
      <w:r>
        <w:t>de façon périodique.</w:t>
      </w:r>
    </w:p>
    <w:p w:rsidR="007D1CA2" w:rsidRDefault="007D1CA2" w:rsidP="007D1CA2">
      <w:pPr>
        <w:ind w:left="1134"/>
      </w:pPr>
      <w:r>
        <w:t xml:space="preserve">La norme définie par </w:t>
      </w:r>
      <w:r w:rsidRPr="00F90261">
        <w:rPr>
          <w:rFonts w:ascii="Times New Roman" w:hAnsi="Times New Roman" w:cs="Times New Roman"/>
          <w:i/>
        </w:rPr>
        <w:t>l’Union Internationale des Télécommunications</w:t>
      </w:r>
      <w:r>
        <w:t xml:space="preserve"> (UIT), organisme indépendant</w:t>
      </w:r>
      <w:r w:rsidR="0018006A">
        <w:t xml:space="preserve"> </w:t>
      </w:r>
      <w:r>
        <w:t>administré par les Nations Unies, impose une fréquence de prélèvement puis conversion de la tension</w:t>
      </w:r>
      <w:r w:rsidR="0018006A">
        <w:t xml:space="preserve"> </w:t>
      </w:r>
      <w:r>
        <w:t>issue du microphone de l’abonné, de 8kHz, ce qui correspond donc à 8000 conversions par seconde.</w:t>
      </w:r>
    </w:p>
    <w:p w:rsidR="00A239A5" w:rsidRDefault="00A239A5" w:rsidP="007D1CA2">
      <w:pPr>
        <w:ind w:left="1134"/>
      </w:pPr>
      <w:r>
        <w:rPr>
          <w:noProof/>
          <w:lang w:eastAsia="fr-FR"/>
        </w:rPr>
        <w:drawing>
          <wp:inline distT="0" distB="0" distL="0" distR="0">
            <wp:extent cx="6100856" cy="3188968"/>
            <wp:effectExtent l="19050" t="0" r="0" b="0"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824" cy="318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CA2" w:rsidRDefault="007D1CA2" w:rsidP="007D1CA2">
      <w:pPr>
        <w:ind w:left="1134"/>
      </w:pPr>
      <w:r>
        <w:t xml:space="preserve">Or, il existe un théorème dit de </w:t>
      </w:r>
      <w:r w:rsidRPr="00F90261">
        <w:rPr>
          <w:rFonts w:ascii="Times New Roman" w:hAnsi="Times New Roman" w:cs="Times New Roman"/>
          <w:i/>
        </w:rPr>
        <w:t>Shannon</w:t>
      </w:r>
      <w:r>
        <w:t>, en électronique, selon lequel il est nécessaire, lorsque l’on</w:t>
      </w:r>
      <w:r w:rsidR="0018006A">
        <w:t xml:space="preserve"> </w:t>
      </w:r>
      <w:r>
        <w:t>souhaite convertir une grandeur analogique en une grandeur numérique, de limiter l’encombrement</w:t>
      </w:r>
      <w:r w:rsidR="0018006A">
        <w:t xml:space="preserve"> </w:t>
      </w:r>
      <w:r>
        <w:t>spectral du signal à convertir, à une valeur au moins deux fois plus petite que la fréquence de</w:t>
      </w:r>
      <w:r w:rsidR="0018006A">
        <w:t xml:space="preserve"> </w:t>
      </w:r>
      <w:r>
        <w:t xml:space="preserve">conversion. </w:t>
      </w:r>
      <w:r w:rsidR="0018006A">
        <w:t xml:space="preserve">Il faut donc </w:t>
      </w:r>
      <w:r>
        <w:t>limiter l’encombrement spectral de la</w:t>
      </w:r>
      <w:r w:rsidR="0018006A">
        <w:t xml:space="preserve"> </w:t>
      </w:r>
      <w:r>
        <w:t>tension issue du microphone, à une valeur inférieure à 4000 Hz.</w:t>
      </w:r>
    </w:p>
    <w:p w:rsidR="0018006A" w:rsidRDefault="007D1CA2" w:rsidP="007D1CA2">
      <w:pPr>
        <w:ind w:left="1134"/>
      </w:pPr>
      <w:r>
        <w:t>C’est pourquoi la norme définissant l’encombrement spectral des signaux à transmettre sur la ligne</w:t>
      </w:r>
      <w:r w:rsidR="0018006A">
        <w:t xml:space="preserve"> </w:t>
      </w:r>
      <w:r>
        <w:t>téléphonique a été fixée par l’UIT, comme étant compris entre 300 Hz et 3400 Hz.</w:t>
      </w:r>
    </w:p>
    <w:p w:rsidR="00A239A5" w:rsidRDefault="00A239A5" w:rsidP="007D1CA2">
      <w:pPr>
        <w:ind w:left="1134"/>
      </w:pPr>
      <w:r w:rsidRPr="00A239A5">
        <w:rPr>
          <w:noProof/>
          <w:lang w:eastAsia="fr-FR"/>
        </w:rPr>
        <w:drawing>
          <wp:inline distT="0" distB="0" distL="0" distR="0">
            <wp:extent cx="5628715" cy="3134036"/>
            <wp:effectExtent l="19050" t="0" r="0" b="0"/>
            <wp:docPr id="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21" cy="313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06A" w:rsidRDefault="007D1CA2" w:rsidP="007D1CA2">
      <w:pPr>
        <w:ind w:left="1134"/>
      </w:pPr>
      <w:r>
        <w:lastRenderedPageBreak/>
        <w:t>Cela signifie que les composantes fréquentielles de la voix comprises entre 20 Hz et 300</w:t>
      </w:r>
      <w:r w:rsidR="0018006A">
        <w:t xml:space="preserve"> </w:t>
      </w:r>
      <w:r>
        <w:t>Hz (sons graves) ainsi que les composantes fréquentielles de la voix comprises entre 3400 Hz et 20 kHz</w:t>
      </w:r>
      <w:r w:rsidR="0018006A">
        <w:t xml:space="preserve"> </w:t>
      </w:r>
      <w:r>
        <w:t>(sons aigus), ne sont pas transmises par le réseau téléphonique, expliquant ainsi la piètre qualité sonore</w:t>
      </w:r>
      <w:r w:rsidR="0018006A">
        <w:t xml:space="preserve"> </w:t>
      </w:r>
      <w:r>
        <w:t xml:space="preserve">des conversations téléphoniques. </w:t>
      </w:r>
    </w:p>
    <w:p w:rsidR="007D1CA2" w:rsidRDefault="009F14AA" w:rsidP="009F14AA">
      <w:pPr>
        <w:ind w:left="1134"/>
        <w:jc w:val="center"/>
      </w:pPr>
      <w:r>
        <w:rPr>
          <w:noProof/>
          <w:lang w:eastAsia="fr-FR"/>
        </w:rPr>
        <w:drawing>
          <wp:inline distT="0" distB="0" distL="0" distR="0">
            <wp:extent cx="4318262" cy="1577788"/>
            <wp:effectExtent l="19050" t="0" r="6088" b="0"/>
            <wp:docPr id="1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132" cy="157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="0018006A" w:rsidRPr="0018006A">
        <w:rPr>
          <w:b/>
        </w:rPr>
        <w:t>Remarque</w:t>
      </w:r>
      <w:r w:rsidR="0018006A">
        <w:t xml:space="preserve"> : </w:t>
      </w:r>
      <w:r w:rsidR="007D1CA2">
        <w:t>les raisons ayant conduit l’UIT à restreindre autant la</w:t>
      </w:r>
      <w:r w:rsidR="0018006A">
        <w:t xml:space="preserve"> </w:t>
      </w:r>
      <w:r w:rsidR="007D1CA2">
        <w:t>bande passante du réseau téléphonique sont historiques : à l’époque où cette norme a été définie, les</w:t>
      </w:r>
      <w:r w:rsidR="00F90261">
        <w:t xml:space="preserve"> </w:t>
      </w:r>
      <w:r w:rsidR="007D1CA2">
        <w:t>dispositifs de conversion analogique numérique ne permettaient pas une</w:t>
      </w:r>
      <w:r w:rsidR="00F90261">
        <w:t xml:space="preserve"> </w:t>
      </w:r>
      <w:r w:rsidR="007D1CA2">
        <w:t>fréquence de conversion supérieure à 10 000 conversions par seconde.</w:t>
      </w:r>
    </w:p>
    <w:p w:rsidR="002734E9" w:rsidRPr="00F90261" w:rsidRDefault="00F90261" w:rsidP="00F9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center"/>
        <w:rPr>
          <w:b/>
        </w:rPr>
      </w:pPr>
      <w:r w:rsidRPr="00F90261">
        <w:rPr>
          <w:b/>
        </w:rPr>
        <w:t>L</w:t>
      </w:r>
      <w:r w:rsidR="007D1CA2" w:rsidRPr="00F90261">
        <w:rPr>
          <w:b/>
        </w:rPr>
        <w:t>a bande passante du réseau téléphonique est</w:t>
      </w:r>
      <w:r w:rsidRPr="00F90261">
        <w:rPr>
          <w:b/>
        </w:rPr>
        <w:t xml:space="preserve"> donc</w:t>
      </w:r>
      <w:r w:rsidR="007D1CA2" w:rsidRPr="00F90261">
        <w:rPr>
          <w:b/>
        </w:rPr>
        <w:t xml:space="preserve"> comprise entre 300 Hz et 3400 Hz.</w:t>
      </w:r>
    </w:p>
    <w:p w:rsidR="00CB0E1B" w:rsidRDefault="00CB0E1B" w:rsidP="00CB0E1B">
      <w:pPr>
        <w:pStyle w:val="Titre1"/>
      </w:pPr>
      <w:bookmarkStart w:id="14" w:name="_Toc314501984"/>
      <w:r>
        <w:t>Les mesures</w:t>
      </w:r>
      <w:bookmarkEnd w:id="14"/>
    </w:p>
    <w:p w:rsidR="00CB0E1B" w:rsidRDefault="00E75200" w:rsidP="00E75200">
      <w:pPr>
        <w:pStyle w:val="Titre2"/>
      </w:pPr>
      <w:bookmarkStart w:id="15" w:name="_Toc314501985"/>
      <w:r>
        <w:t>Tensions combiné raccroché/décroché</w:t>
      </w:r>
      <w:bookmarkEnd w:id="15"/>
    </w:p>
    <w:p w:rsidR="00E75200" w:rsidRDefault="00E75200" w:rsidP="00E75200">
      <w:pPr>
        <w:ind w:left="1276"/>
      </w:pPr>
      <w:r>
        <w:t>Observez et caractérisez les signaux présents sur la ligne téléphonique entre le poste et le PABX lorsque le combiné est raccroché (</w:t>
      </w:r>
      <w:proofErr w:type="spellStart"/>
      <w:r w:rsidRPr="00E75200">
        <w:rPr>
          <w:rFonts w:ascii="Times New Roman" w:hAnsi="Times New Roman" w:cs="Times New Roman"/>
          <w:i/>
        </w:rPr>
        <w:t>Erac</w:t>
      </w:r>
      <w:proofErr w:type="spellEnd"/>
      <w:r>
        <w:t>) et lorsqu’il est décroché (</w:t>
      </w:r>
      <w:proofErr w:type="spellStart"/>
      <w:r w:rsidRPr="00E75200">
        <w:rPr>
          <w:rFonts w:ascii="Times New Roman" w:hAnsi="Times New Roman" w:cs="Times New Roman"/>
          <w:i/>
        </w:rPr>
        <w:t>Edec</w:t>
      </w:r>
      <w:proofErr w:type="spellEnd"/>
      <w:r>
        <w:t>).</w:t>
      </w:r>
    </w:p>
    <w:p w:rsidR="003E4B72" w:rsidRDefault="003E4B72" w:rsidP="003E4B72">
      <w:pPr>
        <w:pStyle w:val="Titre2"/>
      </w:pPr>
      <w:bookmarkStart w:id="16" w:name="_Toc314501986"/>
      <w:r>
        <w:t>Signal de la tonalité d’invitation à numéroter</w:t>
      </w:r>
      <w:bookmarkEnd w:id="16"/>
    </w:p>
    <w:p w:rsidR="003E4B72" w:rsidRDefault="003E4B72" w:rsidP="003E4B72">
      <w:pPr>
        <w:ind w:left="1276"/>
      </w:pPr>
      <w:r>
        <w:t>Visualisez et caractérisez le signal correspondant à la tonalité d’invitation à numéroté. Indiquez à quelle note de musique il correspond.</w:t>
      </w:r>
    </w:p>
    <w:p w:rsidR="003E4B72" w:rsidRDefault="003E4B72" w:rsidP="003E4B72">
      <w:pPr>
        <w:pStyle w:val="Titre2"/>
      </w:pPr>
      <w:bookmarkStart w:id="17" w:name="_Hlk313456269"/>
      <w:bookmarkStart w:id="18" w:name="_Toc314501987"/>
      <w:r>
        <w:t>Signal de la tonalité d’invitation à numéroter à l’extérieur</w:t>
      </w:r>
      <w:bookmarkEnd w:id="18"/>
      <w:r>
        <w:t xml:space="preserve"> </w:t>
      </w:r>
    </w:p>
    <w:bookmarkEnd w:id="17"/>
    <w:p w:rsidR="003E4B72" w:rsidRDefault="003E4B72" w:rsidP="003E4B72">
      <w:pPr>
        <w:ind w:left="1276"/>
      </w:pPr>
      <w:r>
        <w:t>Composez le 0 pour accéder au réseau téléphonique de l’établissement. Généralement, la tonalité d’invitation à numéroté change.</w:t>
      </w:r>
    </w:p>
    <w:p w:rsidR="003E4B72" w:rsidRDefault="003E4B72" w:rsidP="003E4B72">
      <w:pPr>
        <w:ind w:left="1276"/>
      </w:pPr>
      <w:r>
        <w:t>Visualisez et caractérisez le signal correspondant à la tonalité d’invitation à numéroté à l’extérieur. Indiquez à quelle note de musique il correspond.</w:t>
      </w:r>
    </w:p>
    <w:p w:rsidR="003E4B72" w:rsidRDefault="003E4B72" w:rsidP="003E4B72">
      <w:pPr>
        <w:pStyle w:val="Titre2"/>
      </w:pPr>
      <w:bookmarkStart w:id="19" w:name="_Toc314501988"/>
      <w:r>
        <w:t>Etude des signaux associés à la numérotation (code DTMF)</w:t>
      </w:r>
      <w:bookmarkEnd w:id="19"/>
    </w:p>
    <w:p w:rsidR="003172B1" w:rsidRDefault="003172B1" w:rsidP="003172B1">
      <w:pPr>
        <w:ind w:left="1276"/>
      </w:pPr>
      <w:r>
        <w:t>Au départ, le clavier des téléphones était constitué d’un cadran rotatif, et à chaque fois que l’appelant  composait un numéro, le téléphone transmettait sur la ligne, un nombre d’impulsions correspondant au chiffre du numéro composé.</w:t>
      </w:r>
    </w:p>
    <w:p w:rsidR="003172B1" w:rsidRDefault="003172B1" w:rsidP="003172B1">
      <w:pPr>
        <w:ind w:left="1276"/>
      </w:pPr>
      <w:r>
        <w:t>Ce procédé de numérotation dite décimale a perduré jusque dans les années 70.</w:t>
      </w:r>
    </w:p>
    <w:p w:rsidR="003172B1" w:rsidRDefault="003172B1" w:rsidP="003172B1">
      <w:pPr>
        <w:ind w:left="1276"/>
      </w:pPr>
      <w:r>
        <w:t xml:space="preserve">Depuis cette date, les téléphones utilisent le procédé de numérotation par fréquences vocales, encore appelé </w:t>
      </w:r>
      <w:r w:rsidRPr="003172B1">
        <w:rPr>
          <w:b/>
        </w:rPr>
        <w:t>DTMF</w:t>
      </w:r>
      <w:r>
        <w:t xml:space="preserve"> (</w:t>
      </w:r>
      <w:r w:rsidRPr="003172B1">
        <w:rPr>
          <w:rFonts w:ascii="Times New Roman" w:hAnsi="Times New Roman" w:cs="Times New Roman"/>
          <w:i/>
        </w:rPr>
        <w:t>Dual-</w:t>
      </w:r>
      <w:proofErr w:type="spellStart"/>
      <w:r w:rsidRPr="003172B1">
        <w:rPr>
          <w:rFonts w:ascii="Times New Roman" w:hAnsi="Times New Roman" w:cs="Times New Roman"/>
          <w:i/>
        </w:rPr>
        <w:t>Tone</w:t>
      </w:r>
      <w:proofErr w:type="spellEnd"/>
      <w:r w:rsidRPr="003172B1">
        <w:rPr>
          <w:rFonts w:ascii="Times New Roman" w:hAnsi="Times New Roman" w:cs="Times New Roman"/>
          <w:i/>
        </w:rPr>
        <w:t xml:space="preserve"> Multi-</w:t>
      </w:r>
      <w:proofErr w:type="spellStart"/>
      <w:r w:rsidRPr="003172B1">
        <w:rPr>
          <w:rFonts w:ascii="Times New Roman" w:hAnsi="Times New Roman" w:cs="Times New Roman"/>
          <w:i/>
        </w:rPr>
        <w:t>Frequency</w:t>
      </w:r>
      <w:proofErr w:type="spellEnd"/>
      <w:r>
        <w:t>).</w:t>
      </w:r>
    </w:p>
    <w:p w:rsidR="003E4B72" w:rsidRDefault="003172B1" w:rsidP="003172B1">
      <w:pPr>
        <w:ind w:left="1276"/>
      </w:pPr>
      <w:r>
        <w:t xml:space="preserve">Selon ce procédé de numérotation normalisé par l’UIT (norme Q23), à chaque appui sur l’une des touches du clavier, le téléphone transmet sur la ligne, à destination de l’autocommutateur auquel il est raccordé, une tension composite V32 dite tension </w:t>
      </w:r>
      <w:r w:rsidRPr="003172B1">
        <w:rPr>
          <w:b/>
        </w:rPr>
        <w:t>DTMF</w:t>
      </w:r>
      <w:r>
        <w:t xml:space="preserve"> qui est constituée d’</w:t>
      </w:r>
      <w:r w:rsidRPr="003172B1">
        <w:t>un couple de deux fréquences audibles</w:t>
      </w:r>
      <w:r>
        <w:t xml:space="preserve"> (</w:t>
      </w:r>
      <w:proofErr w:type="spellStart"/>
      <w:r w:rsidRPr="00EC6A5E">
        <w:rPr>
          <w:rFonts w:ascii="Times New Roman" w:hAnsi="Times New Roman" w:cs="Times New Roman"/>
          <w:i/>
        </w:rPr>
        <w:t>f</w:t>
      </w:r>
      <w:r w:rsidRPr="00EC6A5E">
        <w:rPr>
          <w:rFonts w:ascii="Times New Roman" w:hAnsi="Times New Roman" w:cs="Times New Roman"/>
          <w:i/>
          <w:vertAlign w:val="subscript"/>
        </w:rPr>
        <w:t>H</w:t>
      </w:r>
      <w:proofErr w:type="spellEnd"/>
      <w:r>
        <w:t xml:space="preserve"> et </w:t>
      </w:r>
      <w:proofErr w:type="spellStart"/>
      <w:r w:rsidRPr="00EC6A5E">
        <w:rPr>
          <w:rFonts w:ascii="Times New Roman" w:hAnsi="Times New Roman" w:cs="Times New Roman"/>
          <w:i/>
        </w:rPr>
        <w:t>f</w:t>
      </w:r>
      <w:r w:rsidRPr="00EC6A5E">
        <w:rPr>
          <w:rFonts w:ascii="Times New Roman" w:hAnsi="Times New Roman" w:cs="Times New Roman"/>
          <w:i/>
          <w:vertAlign w:val="subscript"/>
        </w:rPr>
        <w:t>L</w:t>
      </w:r>
      <w:proofErr w:type="spellEnd"/>
      <w:r>
        <w:t>)</w:t>
      </w:r>
      <w:r w:rsidRPr="003172B1">
        <w:t xml:space="preserve"> qui sont jouées simultanément. De cette façon, huit fréquences bien distinctes pe</w:t>
      </w:r>
      <w:r>
        <w:t>rmettent de coder seize touches :</w:t>
      </w:r>
    </w:p>
    <w:p w:rsidR="003172B1" w:rsidRDefault="00E16AE8" w:rsidP="00E1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828" w:right="2976"/>
      </w:pPr>
      <m:oMathPara>
        <m:oMath>
          <m:r>
            <w:rPr>
              <w:rFonts w:ascii="Cambria Math" w:hAnsi="Cambria Math"/>
            </w:rPr>
            <m:t>V32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ctrlPr>
                <w:rPr>
                  <w:rFonts w:ascii="Cambria Math" w:hAnsi="Cambria Math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2πf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fun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ctrlPr>
                <w:rPr>
                  <w:rFonts w:ascii="Cambria Math" w:hAnsi="Cambria Math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2πf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func>
        </m:oMath>
      </m:oMathPara>
    </w:p>
    <w:p w:rsidR="00E16AE8" w:rsidRDefault="00E16AE8" w:rsidP="00E16AE8">
      <w:pPr>
        <w:ind w:left="1276"/>
        <w:rPr>
          <w:noProof/>
          <w:lang w:eastAsia="fr-FR"/>
        </w:rPr>
      </w:pPr>
      <w:r>
        <w:rPr>
          <w:noProof/>
          <w:lang w:eastAsia="fr-FR"/>
        </w:rPr>
        <w:lastRenderedPageBreak/>
        <w:t xml:space="preserve">Le spectre théorique d’un tel signal est donc composé de deux raies aux fréquences respectives </w:t>
      </w:r>
      <w:r w:rsidRPr="00E16AE8">
        <w:rPr>
          <w:rFonts w:ascii="Times New Roman" w:hAnsi="Times New Roman" w:cs="Times New Roman"/>
          <w:i/>
          <w:noProof/>
          <w:lang w:eastAsia="fr-FR"/>
        </w:rPr>
        <w:t>f</w:t>
      </w:r>
      <w:r w:rsidRPr="00E16AE8">
        <w:rPr>
          <w:rFonts w:ascii="Times New Roman" w:hAnsi="Times New Roman" w:cs="Times New Roman"/>
          <w:i/>
          <w:noProof/>
          <w:vertAlign w:val="subscript"/>
          <w:lang w:eastAsia="fr-FR"/>
        </w:rPr>
        <w:t>L</w:t>
      </w:r>
      <w:r>
        <w:rPr>
          <w:noProof/>
          <w:lang w:eastAsia="fr-FR"/>
        </w:rPr>
        <w:t xml:space="preserve"> et </w:t>
      </w:r>
      <w:r w:rsidRPr="00E16AE8">
        <w:rPr>
          <w:rFonts w:ascii="Times New Roman" w:hAnsi="Times New Roman" w:cs="Times New Roman"/>
          <w:i/>
          <w:noProof/>
          <w:lang w:eastAsia="fr-FR"/>
        </w:rPr>
        <w:t>f</w:t>
      </w:r>
      <w:r w:rsidRPr="00E16AE8">
        <w:rPr>
          <w:rFonts w:ascii="Times New Roman" w:hAnsi="Times New Roman" w:cs="Times New Roman"/>
          <w:i/>
          <w:noProof/>
          <w:vertAlign w:val="subscript"/>
          <w:lang w:eastAsia="fr-FR"/>
        </w:rPr>
        <w:t>H</w:t>
      </w:r>
      <w:r>
        <w:rPr>
          <w:noProof/>
          <w:lang w:eastAsia="fr-FR"/>
        </w:rPr>
        <w:t>.</w:t>
      </w:r>
    </w:p>
    <w:p w:rsidR="00980DB5" w:rsidRDefault="00980DB5" w:rsidP="00E16AE8">
      <w:pPr>
        <w:ind w:left="1276"/>
        <w:rPr>
          <w:noProof/>
          <w:lang w:eastAsia="fr-FR"/>
        </w:rPr>
      </w:pPr>
      <w:r>
        <w:rPr>
          <w:noProof/>
          <w:lang w:eastAsia="fr-FR"/>
        </w:rPr>
        <w:t xml:space="preserve">Les amplitudes </w:t>
      </w:r>
      <w:r w:rsidRPr="00980DB5">
        <w:rPr>
          <w:rFonts w:ascii="Times New Roman" w:hAnsi="Times New Roman" w:cs="Times New Roman"/>
          <w:i/>
          <w:noProof/>
          <w:lang w:eastAsia="fr-FR"/>
        </w:rPr>
        <w:t>E</w:t>
      </w:r>
      <w:r w:rsidRPr="00980DB5">
        <w:rPr>
          <w:rFonts w:ascii="Times New Roman" w:hAnsi="Times New Roman" w:cs="Times New Roman"/>
          <w:i/>
          <w:noProof/>
          <w:vertAlign w:val="subscript"/>
          <w:lang w:eastAsia="fr-FR"/>
        </w:rPr>
        <w:t>L</w:t>
      </w:r>
      <w:r>
        <w:rPr>
          <w:noProof/>
          <w:lang w:eastAsia="fr-FR"/>
        </w:rPr>
        <w:t xml:space="preserve"> et </w:t>
      </w:r>
      <w:r w:rsidRPr="00980DB5">
        <w:rPr>
          <w:rFonts w:ascii="Times New Roman" w:hAnsi="Times New Roman" w:cs="Times New Roman"/>
          <w:i/>
          <w:noProof/>
          <w:lang w:eastAsia="fr-FR"/>
        </w:rPr>
        <w:t>E</w:t>
      </w:r>
      <w:r w:rsidRPr="00980DB5">
        <w:rPr>
          <w:rFonts w:ascii="Times New Roman" w:hAnsi="Times New Roman" w:cs="Times New Roman"/>
          <w:i/>
          <w:noProof/>
          <w:vertAlign w:val="subscript"/>
          <w:lang w:eastAsia="fr-FR"/>
        </w:rPr>
        <w:t>H</w:t>
      </w:r>
      <w:r>
        <w:rPr>
          <w:noProof/>
          <w:lang w:eastAsia="fr-FR"/>
        </w:rPr>
        <w:t xml:space="preserve"> ne font pas l’objet d’une normalisation.</w:t>
      </w:r>
    </w:p>
    <w:p w:rsidR="00980DB5" w:rsidRDefault="00E16AE8" w:rsidP="00980DB5">
      <w:pPr>
        <w:spacing w:after="120"/>
        <w:ind w:left="1276"/>
        <w:rPr>
          <w:noProof/>
          <w:lang w:eastAsia="fr-FR"/>
        </w:rPr>
      </w:pPr>
      <w:r>
        <w:rPr>
          <w:noProof/>
          <w:lang w:eastAsia="fr-FR"/>
        </w:rPr>
        <w:t>Mesurez les</w:t>
      </w:r>
      <w:r w:rsidR="00980DB5">
        <w:rPr>
          <w:noProof/>
          <w:lang w:eastAsia="fr-FR"/>
        </w:rPr>
        <w:t xml:space="preserve"> fréquences fl et fh des signaux correspondants aux 16 touches du clavier d’un téléphone.</w:t>
      </w:r>
    </w:p>
    <w:tbl>
      <w:tblPr>
        <w:tblStyle w:val="Grilledutableau"/>
        <w:tblW w:w="0" w:type="auto"/>
        <w:jc w:val="center"/>
        <w:tblInd w:w="1276" w:type="dxa"/>
        <w:tblLook w:val="04A0"/>
      </w:tblPr>
      <w:tblGrid>
        <w:gridCol w:w="1618"/>
        <w:gridCol w:w="1619"/>
        <w:gridCol w:w="1619"/>
        <w:gridCol w:w="1619"/>
        <w:gridCol w:w="1619"/>
      </w:tblGrid>
      <w:tr w:rsidR="00980DB5" w:rsidTr="00796CC2">
        <w:trPr>
          <w:jc w:val="center"/>
        </w:trPr>
        <w:tc>
          <w:tcPr>
            <w:tcW w:w="323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80DB5" w:rsidRDefault="00980DB5" w:rsidP="00980DB5">
            <w:pPr>
              <w:spacing w:before="0"/>
              <w:jc w:val="center"/>
              <w:rPr>
                <w:noProof/>
                <w:lang w:eastAsia="fr-FR"/>
              </w:rPr>
            </w:pPr>
          </w:p>
        </w:tc>
        <w:tc>
          <w:tcPr>
            <w:tcW w:w="4857" w:type="dxa"/>
            <w:gridSpan w:val="3"/>
            <w:shd w:val="clear" w:color="auto" w:fill="D9D9D9" w:themeFill="background1" w:themeFillShade="D9"/>
            <w:vAlign w:val="center"/>
          </w:tcPr>
          <w:p w:rsidR="00980DB5" w:rsidRDefault="00980DB5" w:rsidP="00980DB5">
            <w:pPr>
              <w:spacing w:before="0"/>
              <w:jc w:val="center"/>
              <w:rPr>
                <w:noProof/>
                <w:lang w:eastAsia="fr-FR"/>
              </w:rPr>
            </w:pPr>
            <w:r w:rsidRPr="00980DB5">
              <w:rPr>
                <w:rFonts w:ascii="Times New Roman" w:hAnsi="Times New Roman" w:cs="Times New Roman"/>
                <w:i/>
                <w:noProof/>
                <w:lang w:eastAsia="fr-FR"/>
              </w:rPr>
              <w:t>fh</w:t>
            </w:r>
            <w:r>
              <w:rPr>
                <w:noProof/>
                <w:lang w:eastAsia="fr-FR"/>
              </w:rPr>
              <w:t xml:space="preserve"> (Hz)</w:t>
            </w:r>
          </w:p>
        </w:tc>
      </w:tr>
      <w:tr w:rsidR="00796CC2" w:rsidTr="00796CC2">
        <w:trPr>
          <w:jc w:val="center"/>
        </w:trPr>
        <w:tc>
          <w:tcPr>
            <w:tcW w:w="3237" w:type="dxa"/>
            <w:gridSpan w:val="2"/>
            <w:vMerge/>
            <w:tcBorders>
              <w:left w:val="nil"/>
            </w:tcBorders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</w:p>
        </w:tc>
        <w:tc>
          <w:tcPr>
            <w:tcW w:w="1619" w:type="dxa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?</w:t>
            </w:r>
          </w:p>
        </w:tc>
        <w:tc>
          <w:tcPr>
            <w:tcW w:w="1619" w:type="dxa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?</w:t>
            </w:r>
          </w:p>
        </w:tc>
        <w:tc>
          <w:tcPr>
            <w:tcW w:w="1619" w:type="dxa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?</w:t>
            </w:r>
          </w:p>
        </w:tc>
      </w:tr>
      <w:tr w:rsidR="00796CC2" w:rsidTr="00796CC2">
        <w:trPr>
          <w:jc w:val="center"/>
        </w:trPr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 w:rsidRPr="00980DB5">
              <w:rPr>
                <w:rFonts w:ascii="Times New Roman" w:hAnsi="Times New Roman" w:cs="Times New Roman"/>
                <w:i/>
                <w:noProof/>
                <w:lang w:eastAsia="fr-FR"/>
              </w:rPr>
              <w:t>fl</w:t>
            </w:r>
            <w:r>
              <w:rPr>
                <w:noProof/>
                <w:lang w:eastAsia="fr-FR"/>
              </w:rPr>
              <w:t xml:space="preserve"> (Hz)</w:t>
            </w:r>
          </w:p>
        </w:tc>
        <w:tc>
          <w:tcPr>
            <w:tcW w:w="1619" w:type="dxa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?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</w:t>
            </w:r>
          </w:p>
        </w:tc>
      </w:tr>
      <w:tr w:rsidR="00796CC2" w:rsidTr="00796CC2">
        <w:trPr>
          <w:jc w:val="center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</w:p>
        </w:tc>
        <w:tc>
          <w:tcPr>
            <w:tcW w:w="1619" w:type="dxa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?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4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5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6</w:t>
            </w:r>
          </w:p>
        </w:tc>
      </w:tr>
      <w:tr w:rsidR="00796CC2" w:rsidTr="00796CC2">
        <w:trPr>
          <w:jc w:val="center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</w:p>
        </w:tc>
        <w:tc>
          <w:tcPr>
            <w:tcW w:w="1619" w:type="dxa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?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7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8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9</w:t>
            </w:r>
          </w:p>
        </w:tc>
      </w:tr>
      <w:tr w:rsidR="00796CC2" w:rsidTr="00796CC2">
        <w:trPr>
          <w:jc w:val="center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</w:p>
        </w:tc>
        <w:tc>
          <w:tcPr>
            <w:tcW w:w="1619" w:type="dxa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?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*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0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796CC2" w:rsidRDefault="00796CC2" w:rsidP="00980DB5">
            <w:pPr>
              <w:spacing w:befor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#</w:t>
            </w:r>
          </w:p>
        </w:tc>
      </w:tr>
    </w:tbl>
    <w:p w:rsidR="00980DB5" w:rsidRDefault="00980DB5" w:rsidP="00980DB5">
      <w:pPr>
        <w:pStyle w:val="Titre2"/>
      </w:pPr>
      <w:bookmarkStart w:id="20" w:name="_Toc314501989"/>
      <w:r>
        <w:t>Signal de commande de la sonnerie</w:t>
      </w:r>
      <w:bookmarkEnd w:id="20"/>
    </w:p>
    <w:p w:rsidR="00980DB5" w:rsidRDefault="00980DB5" w:rsidP="00980DB5">
      <w:pPr>
        <w:ind w:left="1276"/>
      </w:pPr>
      <w:r>
        <w:t>Composez le numéro d’un poste non-occupé. Visualisez et caractérisez le signal de sonnerie élaboré par le PABX (caractéristiques temporelles, fréquentielles et amplitudes).</w:t>
      </w:r>
    </w:p>
    <w:p w:rsidR="008506FB" w:rsidRDefault="008506FB" w:rsidP="008506FB">
      <w:pPr>
        <w:pStyle w:val="Titre2"/>
      </w:pPr>
      <w:bookmarkStart w:id="21" w:name="_Toc314501990"/>
      <w:r>
        <w:t>Signal de retour d’appel d’un poste occupé</w:t>
      </w:r>
      <w:bookmarkEnd w:id="21"/>
    </w:p>
    <w:p w:rsidR="008506FB" w:rsidRDefault="008506FB" w:rsidP="008506FB">
      <w:pPr>
        <w:ind w:left="1276"/>
      </w:pPr>
      <w:r>
        <w:t>Composez le numéro d’un poste occupé. Visualisez et caractérisez le signal de retour élaboré par le PABX (caractéristiques temporelles, fréquentielles et amplitudes).</w:t>
      </w:r>
    </w:p>
    <w:p w:rsidR="00980DB5" w:rsidRDefault="008506FB" w:rsidP="00980DB5">
      <w:pPr>
        <w:pStyle w:val="Titre2"/>
        <w:rPr>
          <w:noProof/>
          <w:lang w:eastAsia="fr-FR"/>
        </w:rPr>
      </w:pPr>
      <w:bookmarkStart w:id="22" w:name="_Toc314501991"/>
      <w:r>
        <w:rPr>
          <w:noProof/>
          <w:lang w:eastAsia="fr-FR"/>
        </w:rPr>
        <w:t>Signal correspondant à la voix</w:t>
      </w:r>
      <w:bookmarkEnd w:id="22"/>
    </w:p>
    <w:p w:rsidR="008506FB" w:rsidRDefault="008506FB" w:rsidP="008506FB">
      <w:pPr>
        <w:ind w:left="1276"/>
        <w:rPr>
          <w:lang w:eastAsia="fr-FR"/>
        </w:rPr>
      </w:pPr>
      <w:r>
        <w:rPr>
          <w:lang w:eastAsia="fr-FR"/>
        </w:rPr>
        <w:t>Etablissez un canal de communication entre les deux postes téléphoniques.</w:t>
      </w:r>
    </w:p>
    <w:p w:rsidR="008506FB" w:rsidRDefault="008506FB" w:rsidP="008506FB">
      <w:pPr>
        <w:ind w:left="1276"/>
        <w:rPr>
          <w:lang w:eastAsia="fr-FR"/>
        </w:rPr>
      </w:pPr>
      <w:r>
        <w:rPr>
          <w:lang w:eastAsia="fr-FR"/>
        </w:rPr>
        <w:t>Injectez un signal sonore composé d’une onde sinusoïdale de fréquence 1kHz sur le premier poste et de fréquence 3kHz sur le second poste.</w:t>
      </w:r>
    </w:p>
    <w:p w:rsidR="008506FB" w:rsidRPr="008506FB" w:rsidRDefault="008506FB" w:rsidP="008506FB">
      <w:pPr>
        <w:ind w:left="1276"/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4225029</wp:posOffset>
            </wp:positionH>
            <wp:positionV relativeFrom="paragraph">
              <wp:posOffset>213845</wp:posOffset>
            </wp:positionV>
            <wp:extent cx="1582644" cy="848659"/>
            <wp:effectExtent l="19050" t="0" r="0" b="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44" cy="84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213360</wp:posOffset>
            </wp:positionV>
            <wp:extent cx="1578610" cy="848360"/>
            <wp:effectExtent l="19050" t="0" r="254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AE8" w:rsidRDefault="00B27A2A" w:rsidP="00E16AE8">
      <w:pPr>
        <w:ind w:left="1276"/>
        <w:rPr>
          <w:noProof/>
          <w:lang w:eastAsia="fr-FR"/>
        </w:rPr>
      </w:pPr>
      <w:r>
        <w:rPr>
          <w:noProof/>
          <w:lang w:eastAsia="fr-FR"/>
        </w:rPr>
        <w:pict>
          <v:shape id="_x0000_s1108" type="#_x0000_t202" style="position:absolute;left:0;text-align:left;margin-left:340.75pt;margin-top:58.9pt;width:112pt;height:26.35pt;z-index:251705344" filled="f" stroked="f">
            <v:textbox>
              <w:txbxContent>
                <w:p w:rsidR="00C43589" w:rsidRDefault="00C43589" w:rsidP="008506FB">
                  <w:r>
                    <w:t>Onde sonore 3kHz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7" type="#_x0000_t202" style="position:absolute;left:0;text-align:left;margin-left:115.65pt;margin-top:59.55pt;width:112pt;height:26.35pt;z-index:251704320" filled="f" stroked="f">
            <v:textbox>
              <w:txbxContent>
                <w:p w:rsidR="00C43589" w:rsidRDefault="00C43589">
                  <w:r>
                    <w:t>Onde sonore 1kHz</w:t>
                  </w:r>
                </w:p>
              </w:txbxContent>
            </v:textbox>
          </v:shape>
        </w:pict>
      </w:r>
      <w:r w:rsidR="00E16AE8">
        <w:rPr>
          <w:noProof/>
          <w:lang w:eastAsia="fr-FR"/>
        </w:rPr>
        <w:t xml:space="preserve"> </w:t>
      </w:r>
    </w:p>
    <w:p w:rsidR="008506FB" w:rsidRDefault="008506FB" w:rsidP="00E16AE8">
      <w:pPr>
        <w:ind w:left="1276"/>
        <w:rPr>
          <w:noProof/>
          <w:lang w:eastAsia="fr-FR"/>
        </w:rPr>
      </w:pPr>
    </w:p>
    <w:p w:rsidR="008506FB" w:rsidRDefault="008506FB" w:rsidP="00E16AE8">
      <w:pPr>
        <w:ind w:left="1276"/>
        <w:rPr>
          <w:noProof/>
          <w:lang w:eastAsia="fr-FR"/>
        </w:rPr>
      </w:pPr>
    </w:p>
    <w:p w:rsidR="008506FB" w:rsidRDefault="008506FB" w:rsidP="00E16AE8">
      <w:pPr>
        <w:ind w:left="1276"/>
        <w:rPr>
          <w:noProof/>
          <w:lang w:eastAsia="fr-FR"/>
        </w:rPr>
      </w:pPr>
    </w:p>
    <w:p w:rsidR="008506FB" w:rsidRDefault="008506FB" w:rsidP="00E16AE8">
      <w:pPr>
        <w:ind w:left="1276"/>
        <w:rPr>
          <w:noProof/>
          <w:lang w:eastAsia="fr-FR"/>
        </w:rPr>
      </w:pPr>
    </w:p>
    <w:p w:rsidR="008506FB" w:rsidRDefault="008506FB" w:rsidP="00E16AE8">
      <w:pPr>
        <w:ind w:left="1276"/>
        <w:rPr>
          <w:noProof/>
          <w:lang w:eastAsia="fr-FR"/>
        </w:rPr>
      </w:pPr>
      <w:r>
        <w:rPr>
          <w:noProof/>
          <w:lang w:eastAsia="fr-FR"/>
        </w:rPr>
        <w:t>Visualisez le signal et caractérisez le signal lorsque seul le poste 1 émet une onde sonore</w:t>
      </w:r>
      <w:r w:rsidR="00FD10BB">
        <w:rPr>
          <w:noProof/>
          <w:lang w:eastAsia="fr-FR"/>
        </w:rPr>
        <w:t>.</w:t>
      </w:r>
    </w:p>
    <w:p w:rsidR="00FD10BB" w:rsidRDefault="00FD10BB" w:rsidP="00FD10BB">
      <w:pPr>
        <w:ind w:left="1276"/>
        <w:rPr>
          <w:noProof/>
          <w:lang w:eastAsia="fr-FR"/>
        </w:rPr>
      </w:pPr>
      <w:r>
        <w:rPr>
          <w:noProof/>
          <w:lang w:eastAsia="fr-FR"/>
        </w:rPr>
        <w:t>Visualisez le signal et caractérisez le signal lorsque seul le poste 2 émet une onde sonore.</w:t>
      </w:r>
    </w:p>
    <w:p w:rsidR="00FD10BB" w:rsidRDefault="00FD10BB" w:rsidP="00FD10BB">
      <w:pPr>
        <w:ind w:left="1276"/>
        <w:rPr>
          <w:noProof/>
          <w:lang w:eastAsia="fr-FR"/>
        </w:rPr>
      </w:pPr>
      <w:r>
        <w:rPr>
          <w:noProof/>
          <w:lang w:eastAsia="fr-FR"/>
        </w:rPr>
        <w:t>Visualisez le signal et caractérisez le signal lorsque les postes émettent une onde sonore.</w:t>
      </w:r>
    </w:p>
    <w:p w:rsidR="00FD10BB" w:rsidRDefault="00FD10BB" w:rsidP="00FD10BB">
      <w:pPr>
        <w:ind w:left="1276"/>
        <w:rPr>
          <w:noProof/>
          <w:lang w:eastAsia="fr-FR"/>
        </w:rPr>
      </w:pPr>
      <w:r>
        <w:rPr>
          <w:noProof/>
          <w:lang w:eastAsia="fr-FR"/>
        </w:rPr>
        <w:t>Quel mode de transimission le téléphone met il en œuvre (</w:t>
      </w:r>
      <w:r w:rsidRPr="00FD10BB">
        <w:rPr>
          <w:rFonts w:ascii="Times New Roman" w:hAnsi="Times New Roman" w:cs="Times New Roman"/>
          <w:i/>
          <w:noProof/>
          <w:lang w:eastAsia="fr-FR"/>
        </w:rPr>
        <w:t>simplex</w:t>
      </w:r>
      <w:r>
        <w:rPr>
          <w:noProof/>
          <w:lang w:eastAsia="fr-FR"/>
        </w:rPr>
        <w:t xml:space="preserve">, </w:t>
      </w:r>
      <w:r w:rsidRPr="00FD10BB">
        <w:rPr>
          <w:rFonts w:ascii="Times New Roman" w:hAnsi="Times New Roman" w:cs="Times New Roman"/>
          <w:i/>
          <w:noProof/>
          <w:lang w:eastAsia="fr-FR"/>
        </w:rPr>
        <w:t>half</w:t>
      </w:r>
      <w:r>
        <w:rPr>
          <w:rFonts w:ascii="Times New Roman" w:hAnsi="Times New Roman" w:cs="Times New Roman"/>
          <w:i/>
          <w:noProof/>
          <w:lang w:eastAsia="fr-FR"/>
        </w:rPr>
        <w:t>-</w:t>
      </w:r>
      <w:r w:rsidRPr="00FD10BB">
        <w:rPr>
          <w:rFonts w:ascii="Times New Roman" w:hAnsi="Times New Roman" w:cs="Times New Roman"/>
          <w:i/>
          <w:noProof/>
          <w:lang w:eastAsia="fr-FR"/>
        </w:rPr>
        <w:t>duplex</w:t>
      </w:r>
      <w:r>
        <w:rPr>
          <w:noProof/>
          <w:lang w:eastAsia="fr-FR"/>
        </w:rPr>
        <w:t xml:space="preserve"> ou </w:t>
      </w:r>
      <w:r>
        <w:rPr>
          <w:rFonts w:ascii="Times New Roman" w:hAnsi="Times New Roman" w:cs="Times New Roman"/>
          <w:i/>
          <w:noProof/>
          <w:lang w:eastAsia="fr-FR"/>
        </w:rPr>
        <w:t>full-</w:t>
      </w:r>
      <w:r w:rsidRPr="00FD10BB">
        <w:rPr>
          <w:rFonts w:ascii="Times New Roman" w:hAnsi="Times New Roman" w:cs="Times New Roman"/>
          <w:i/>
          <w:noProof/>
          <w:lang w:eastAsia="fr-FR"/>
        </w:rPr>
        <w:t>duplex</w:t>
      </w:r>
      <w:r>
        <w:rPr>
          <w:noProof/>
          <w:lang w:eastAsia="fr-FR"/>
        </w:rPr>
        <w:t>) ?</w:t>
      </w:r>
    </w:p>
    <w:p w:rsidR="00FD10BB" w:rsidRDefault="00FD10BB" w:rsidP="00FD10BB">
      <w:pPr>
        <w:ind w:left="1276"/>
        <w:rPr>
          <w:noProof/>
          <w:lang w:eastAsia="fr-FR"/>
        </w:rPr>
      </w:pPr>
    </w:p>
    <w:p w:rsidR="00FD10BB" w:rsidRDefault="00FD10BB" w:rsidP="00FD10BB">
      <w:pPr>
        <w:ind w:left="1276"/>
        <w:rPr>
          <w:noProof/>
          <w:lang w:eastAsia="fr-FR"/>
        </w:rPr>
      </w:pPr>
      <w:r>
        <w:rPr>
          <w:noProof/>
          <w:lang w:eastAsia="fr-FR"/>
        </w:rPr>
        <w:t>Vérifiez les limites de la bande-passante du téléphone.</w:t>
      </w:r>
    </w:p>
    <w:sectPr w:rsidR="00FD10BB" w:rsidSect="00AE06D9">
      <w:footerReference w:type="default" r:id="rId22"/>
      <w:pgSz w:w="11906" w:h="16838"/>
      <w:pgMar w:top="568" w:right="566" w:bottom="851" w:left="56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6AA" w:rsidRDefault="007136AA" w:rsidP="00E60E18">
      <w:pPr>
        <w:spacing w:before="0"/>
      </w:pPr>
      <w:r>
        <w:separator/>
      </w:r>
    </w:p>
  </w:endnote>
  <w:endnote w:type="continuationSeparator" w:id="0">
    <w:p w:rsidR="007136AA" w:rsidRDefault="007136AA" w:rsidP="00E60E1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89" w:rsidRDefault="00C43589" w:rsidP="00E60E18">
    <w:pPr>
      <w:pStyle w:val="Pieddepage"/>
      <w:pBdr>
        <w:top w:val="double" w:sz="4" w:space="1" w:color="auto"/>
      </w:pBdr>
    </w:pPr>
    <w:r>
      <w:t xml:space="preserve">Marc </w:t>
    </w:r>
    <w:proofErr w:type="spellStart"/>
    <w:r>
      <w:t>Silanus</w:t>
    </w:r>
    <w:proofErr w:type="spellEnd"/>
    <w:r>
      <w:t xml:space="preserve"> – Lycée A. Benoit – 84800 L’Isle sur Sorgue</w:t>
    </w:r>
  </w:p>
  <w:p w:rsidR="00C43589" w:rsidRDefault="00C4358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89" w:rsidRDefault="00C43589" w:rsidP="00E60E18">
    <w:pPr>
      <w:pStyle w:val="Pieddepage"/>
      <w:pBdr>
        <w:top w:val="double" w:sz="4" w:space="1" w:color="auto"/>
      </w:pBdr>
    </w:pPr>
    <w:r>
      <w:t xml:space="preserve">Marc </w:t>
    </w:r>
    <w:proofErr w:type="spellStart"/>
    <w:r>
      <w:t>Silanus</w:t>
    </w:r>
    <w:proofErr w:type="spellEnd"/>
    <w:r>
      <w:t xml:space="preserve"> – Lycée A. Benoit – 84800 L’Isle sur Sorgue</w:t>
    </w:r>
  </w:p>
  <w:p w:rsidR="00C43589" w:rsidRDefault="00C4358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89" w:rsidRDefault="00C43589" w:rsidP="00E60E18">
    <w:pPr>
      <w:pStyle w:val="Pieddepage"/>
      <w:pBdr>
        <w:top w:val="double" w:sz="4" w:space="1" w:color="auto"/>
      </w:pBdr>
      <w:tabs>
        <w:tab w:val="clear" w:pos="9072"/>
        <w:tab w:val="right" w:pos="10773"/>
      </w:tabs>
    </w:pPr>
    <w:r>
      <w:t xml:space="preserve">Marc </w:t>
    </w:r>
    <w:proofErr w:type="spellStart"/>
    <w:r>
      <w:t>Silanus</w:t>
    </w:r>
    <w:proofErr w:type="spellEnd"/>
    <w:r>
      <w:t xml:space="preserve"> – Lycée A. Benoit – 84800 L’Isle sur Sorgue</w:t>
    </w:r>
    <w:r>
      <w:tab/>
      <w:t xml:space="preserve">Page </w:t>
    </w:r>
    <w:fldSimple w:instr=" PAGE  -2 \* MERGEFORMAT ">
      <w:r w:rsidR="00CC068A">
        <w:rPr>
          <w:noProof/>
        </w:rPr>
        <w:t>6</w:t>
      </w:r>
    </w:fldSimple>
    <w:r>
      <w:t xml:space="preserve"> sur </w:t>
    </w:r>
    <w:r w:rsidR="00FF0AD2">
      <w:t>6</w:t>
    </w:r>
  </w:p>
  <w:p w:rsidR="00C43589" w:rsidRDefault="00C435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6AA" w:rsidRDefault="007136AA" w:rsidP="00E60E18">
      <w:pPr>
        <w:spacing w:before="0"/>
      </w:pPr>
      <w:r>
        <w:separator/>
      </w:r>
    </w:p>
  </w:footnote>
  <w:footnote w:type="continuationSeparator" w:id="0">
    <w:p w:rsidR="007136AA" w:rsidRDefault="007136AA" w:rsidP="00E60E1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89" w:rsidRDefault="00C43589" w:rsidP="004E7F63">
    <w:pPr>
      <w:pStyle w:val="En-tte"/>
      <w:pBdr>
        <w:bottom w:val="double" w:sz="4" w:space="1" w:color="auto"/>
      </w:pBdr>
      <w:jc w:val="center"/>
    </w:pPr>
    <w:r>
      <w:t>ET22</w:t>
    </w:r>
    <w:r w:rsidR="00876156">
      <w:t>C</w:t>
    </w:r>
    <w:r>
      <w:t> : Analyse temporelle et fréquentielle de signaux sonores</w:t>
    </w:r>
  </w:p>
  <w:p w:rsidR="00C43589" w:rsidRDefault="00C4358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F34"/>
    <w:multiLevelType w:val="hybridMultilevel"/>
    <w:tmpl w:val="03DA3B98"/>
    <w:lvl w:ilvl="0" w:tplc="040C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1853596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>
    <w:nsid w:val="3DF22F6C"/>
    <w:multiLevelType w:val="hybridMultilevel"/>
    <w:tmpl w:val="EF8C785E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41B0441A"/>
    <w:multiLevelType w:val="hybridMultilevel"/>
    <w:tmpl w:val="BF2C8814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5A1F1D41"/>
    <w:multiLevelType w:val="hybridMultilevel"/>
    <w:tmpl w:val="01D82BDC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60E62A0F"/>
    <w:multiLevelType w:val="hybridMultilevel"/>
    <w:tmpl w:val="8D3C9BF4"/>
    <w:lvl w:ilvl="0" w:tplc="040C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>
    <w:nsid w:val="7785089C"/>
    <w:multiLevelType w:val="hybridMultilevel"/>
    <w:tmpl w:val="F4A85A3A"/>
    <w:lvl w:ilvl="0" w:tplc="040C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3379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5D47"/>
    <w:rsid w:val="00035405"/>
    <w:rsid w:val="00044BB3"/>
    <w:rsid w:val="00057A2B"/>
    <w:rsid w:val="00064232"/>
    <w:rsid w:val="00071263"/>
    <w:rsid w:val="000A78BD"/>
    <w:rsid w:val="000C1F66"/>
    <w:rsid w:val="000E380A"/>
    <w:rsid w:val="001169A4"/>
    <w:rsid w:val="00131C1A"/>
    <w:rsid w:val="00153940"/>
    <w:rsid w:val="0018006A"/>
    <w:rsid w:val="00180159"/>
    <w:rsid w:val="001B0723"/>
    <w:rsid w:val="001E35B9"/>
    <w:rsid w:val="001F560B"/>
    <w:rsid w:val="002734E9"/>
    <w:rsid w:val="002817B4"/>
    <w:rsid w:val="002C45FC"/>
    <w:rsid w:val="002C62B2"/>
    <w:rsid w:val="003172B1"/>
    <w:rsid w:val="003464D7"/>
    <w:rsid w:val="003E20DE"/>
    <w:rsid w:val="003E4B72"/>
    <w:rsid w:val="00425B07"/>
    <w:rsid w:val="00452496"/>
    <w:rsid w:val="00461D64"/>
    <w:rsid w:val="004659E1"/>
    <w:rsid w:val="004A5635"/>
    <w:rsid w:val="004C5D47"/>
    <w:rsid w:val="004D2252"/>
    <w:rsid w:val="004D40B2"/>
    <w:rsid w:val="004E7F63"/>
    <w:rsid w:val="005668EA"/>
    <w:rsid w:val="005855CB"/>
    <w:rsid w:val="005924A4"/>
    <w:rsid w:val="005C1B27"/>
    <w:rsid w:val="005C6D32"/>
    <w:rsid w:val="0060235B"/>
    <w:rsid w:val="006429D2"/>
    <w:rsid w:val="0068207D"/>
    <w:rsid w:val="00696A42"/>
    <w:rsid w:val="007136AA"/>
    <w:rsid w:val="0071462B"/>
    <w:rsid w:val="00746E6E"/>
    <w:rsid w:val="007563DE"/>
    <w:rsid w:val="00781B14"/>
    <w:rsid w:val="00787C02"/>
    <w:rsid w:val="00796CC2"/>
    <w:rsid w:val="007D1CA2"/>
    <w:rsid w:val="007D55E4"/>
    <w:rsid w:val="007F62CC"/>
    <w:rsid w:val="008251A1"/>
    <w:rsid w:val="00845BF7"/>
    <w:rsid w:val="008506FB"/>
    <w:rsid w:val="00876156"/>
    <w:rsid w:val="008D6347"/>
    <w:rsid w:val="00932563"/>
    <w:rsid w:val="00980DB5"/>
    <w:rsid w:val="0098501A"/>
    <w:rsid w:val="00993326"/>
    <w:rsid w:val="009B529B"/>
    <w:rsid w:val="009E10B9"/>
    <w:rsid w:val="009F03F0"/>
    <w:rsid w:val="009F0E2F"/>
    <w:rsid w:val="009F14AA"/>
    <w:rsid w:val="009F5F63"/>
    <w:rsid w:val="00A03F91"/>
    <w:rsid w:val="00A239A5"/>
    <w:rsid w:val="00AD389C"/>
    <w:rsid w:val="00AE06D9"/>
    <w:rsid w:val="00AF1B47"/>
    <w:rsid w:val="00AF510D"/>
    <w:rsid w:val="00B10A90"/>
    <w:rsid w:val="00B13C84"/>
    <w:rsid w:val="00B27A2A"/>
    <w:rsid w:val="00B372B7"/>
    <w:rsid w:val="00BF7ECB"/>
    <w:rsid w:val="00C17687"/>
    <w:rsid w:val="00C33E59"/>
    <w:rsid w:val="00C43589"/>
    <w:rsid w:val="00C6270A"/>
    <w:rsid w:val="00CB0E1B"/>
    <w:rsid w:val="00CC068A"/>
    <w:rsid w:val="00D242C4"/>
    <w:rsid w:val="00D4327B"/>
    <w:rsid w:val="00D946CD"/>
    <w:rsid w:val="00DC2AD8"/>
    <w:rsid w:val="00DC5394"/>
    <w:rsid w:val="00E07D00"/>
    <w:rsid w:val="00E16AE8"/>
    <w:rsid w:val="00E60E18"/>
    <w:rsid w:val="00E75200"/>
    <w:rsid w:val="00EA279C"/>
    <w:rsid w:val="00EB2D00"/>
    <w:rsid w:val="00EC6A5E"/>
    <w:rsid w:val="00F25459"/>
    <w:rsid w:val="00F8784F"/>
    <w:rsid w:val="00F90261"/>
    <w:rsid w:val="00FB535D"/>
    <w:rsid w:val="00FB6AEB"/>
    <w:rsid w:val="00FD10BB"/>
    <w:rsid w:val="00FF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 strokecolor="none"/>
    </o:shapedefaults>
    <o:shapelayout v:ext="edit">
      <o:idmap v:ext="edit" data="1"/>
      <o:rules v:ext="edit">
        <o:r id="V:Rule10" type="connector" idref="#_x0000_s1083"/>
        <o:r id="V:Rule11" type="connector" idref="#_x0000_s1102"/>
        <o:r id="V:Rule12" type="connector" idref="#_x0000_s1090"/>
        <o:r id="V:Rule13" type="connector" idref="#_x0000_s1101"/>
        <o:r id="V:Rule14" type="connector" idref="#_x0000_s1099"/>
        <o:r id="V:Rule15" type="connector" idref="#_x0000_s1100"/>
        <o:r id="V:Rule16" type="connector" idref="#_x0000_s1089"/>
        <o:r id="V:Rule17" type="connector" idref="#_x0000_s1091"/>
        <o:r id="V:Rule18" type="connector" idref="#_x0000_s1084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B7"/>
    <w:pPr>
      <w:spacing w:before="120" w:after="0" w:line="240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372B7"/>
    <w:pPr>
      <w:keepNext/>
      <w:keepLines/>
      <w:numPr>
        <w:numId w:val="1"/>
      </w:numPr>
      <w:spacing w:before="240"/>
      <w:ind w:left="431" w:hanging="431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6E6E"/>
    <w:pPr>
      <w:keepNext/>
      <w:keepLines/>
      <w:numPr>
        <w:ilvl w:val="1"/>
        <w:numId w:val="1"/>
      </w:numPr>
      <w:spacing w:before="200"/>
      <w:ind w:left="1284"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4327B"/>
    <w:pPr>
      <w:keepNext/>
      <w:keepLines/>
      <w:numPr>
        <w:ilvl w:val="2"/>
        <w:numId w:val="1"/>
      </w:numPr>
      <w:spacing w:before="200"/>
      <w:ind w:left="1854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46E6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46E6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E6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E6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E6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E6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5D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D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0E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0E18"/>
  </w:style>
  <w:style w:type="paragraph" w:styleId="Pieddepage">
    <w:name w:val="footer"/>
    <w:basedOn w:val="Normal"/>
    <w:link w:val="PieddepageCar"/>
    <w:uiPriority w:val="99"/>
    <w:unhideWhenUsed/>
    <w:rsid w:val="00E60E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0E18"/>
  </w:style>
  <w:style w:type="character" w:customStyle="1" w:styleId="Titre1Car">
    <w:name w:val="Titre 1 Car"/>
    <w:basedOn w:val="Policepardfaut"/>
    <w:link w:val="Titre1"/>
    <w:uiPriority w:val="9"/>
    <w:rsid w:val="00B372B7"/>
    <w:rPr>
      <w:rFonts w:eastAsiaTheme="majorEastAsia" w:cstheme="majorBidi"/>
      <w:b/>
      <w:bCs/>
      <w:color w:val="1F497D" w:themeColor="text2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46E6E"/>
    <w:rPr>
      <w:rFonts w:eastAsiaTheme="majorEastAsia" w:cstheme="majorBidi"/>
      <w:b/>
      <w:bCs/>
      <w:color w:val="1F497D" w:themeColor="text2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327B"/>
    <w:rPr>
      <w:rFonts w:eastAsiaTheme="majorEastAsia" w:cstheme="majorBidi"/>
      <w:b/>
      <w:bCs/>
      <w:color w:val="1F497D" w:themeColor="text2"/>
    </w:rPr>
  </w:style>
  <w:style w:type="character" w:customStyle="1" w:styleId="Titre4Car">
    <w:name w:val="Titre 4 Car"/>
    <w:basedOn w:val="Policepardfaut"/>
    <w:link w:val="Titre4"/>
    <w:uiPriority w:val="9"/>
    <w:rsid w:val="00746E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746E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746E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46E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46E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46E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372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80159"/>
    <w:pPr>
      <w:ind w:left="720"/>
      <w:contextualSpacing/>
    </w:pPr>
  </w:style>
  <w:style w:type="character" w:styleId="CodeHTML">
    <w:name w:val="HTML Code"/>
    <w:basedOn w:val="Policepardfaut"/>
    <w:uiPriority w:val="99"/>
    <w:semiHidden/>
    <w:unhideWhenUsed/>
    <w:rsid w:val="001E35B9"/>
    <w:rPr>
      <w:rFonts w:ascii="Courier New" w:eastAsia="Times New Roman" w:hAnsi="Courier New" w:cs="Courier New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3172B1"/>
    <w:rPr>
      <w:color w:val="808080"/>
    </w:rPr>
  </w:style>
  <w:style w:type="table" w:styleId="Grilledutableau">
    <w:name w:val="Table Grid"/>
    <w:basedOn w:val="TableauNormal"/>
    <w:uiPriority w:val="59"/>
    <w:rsid w:val="00980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38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0E380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E380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E380A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DD8C-B4A8-43E6-8A19-FE88ED8F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2039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20</cp:revision>
  <cp:lastPrinted>2012-01-16T17:31:00Z</cp:lastPrinted>
  <dcterms:created xsi:type="dcterms:W3CDTF">2011-01-12T13:29:00Z</dcterms:created>
  <dcterms:modified xsi:type="dcterms:W3CDTF">2012-01-16T17:31:00Z</dcterms:modified>
</cp:coreProperties>
</file>